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661" w:rsidRDefault="003D3661" w:rsidP="00B26DA4">
      <w:pPr>
        <w:ind w:right="-3600"/>
      </w:pPr>
      <w:r w:rsidRPr="003D3661">
        <w:rPr>
          <w:noProof/>
        </w:rPr>
        <w:drawing>
          <wp:anchor distT="0" distB="0" distL="114300" distR="114300" simplePos="0" relativeHeight="251659264" behindDoc="1" locked="0" layoutInCell="1" allowOverlap="1" wp14:anchorId="77B97448" wp14:editId="20AEF448">
            <wp:simplePos x="0" y="0"/>
            <wp:positionH relativeFrom="page">
              <wp:posOffset>-13335</wp:posOffset>
            </wp:positionH>
            <wp:positionV relativeFrom="page">
              <wp:posOffset>-13970</wp:posOffset>
            </wp:positionV>
            <wp:extent cx="7772400" cy="97034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NA_Cover_012.jpg"/>
                    <pic:cNvPicPr/>
                  </pic:nvPicPr>
                  <pic:blipFill>
                    <a:blip r:embed="rId8">
                      <a:extLst>
                        <a:ext uri="{28A0092B-C50C-407E-A947-70E740481C1C}">
                          <a14:useLocalDpi xmlns:a14="http://schemas.microsoft.com/office/drawing/2010/main" val="0"/>
                        </a:ext>
                      </a:extLst>
                    </a:blip>
                    <a:stretch>
                      <a:fillRect/>
                    </a:stretch>
                  </pic:blipFill>
                  <pic:spPr>
                    <a:xfrm>
                      <a:off x="0" y="0"/>
                      <a:ext cx="7772400" cy="970343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CB497F" w:rsidP="00B26DA4">
      <w:pPr>
        <w:ind w:right="-3600"/>
      </w:pPr>
      <w:r w:rsidRPr="003D3661">
        <w:rPr>
          <w:noProof/>
        </w:rPr>
        <mc:AlternateContent>
          <mc:Choice Requires="wps">
            <w:drawing>
              <wp:anchor distT="0" distB="0" distL="114300" distR="114300" simplePos="0" relativeHeight="251660288" behindDoc="0" locked="0" layoutInCell="1" allowOverlap="1" wp14:anchorId="5C0793B0" wp14:editId="29B9A26D">
                <wp:simplePos x="0" y="0"/>
                <wp:positionH relativeFrom="column">
                  <wp:posOffset>438150</wp:posOffset>
                </wp:positionH>
                <wp:positionV relativeFrom="paragraph">
                  <wp:posOffset>261620</wp:posOffset>
                </wp:positionV>
                <wp:extent cx="5935980" cy="30194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5935980" cy="3019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948A4" w:rsidRDefault="007948A4" w:rsidP="00F03B4A">
                            <w:pPr>
                              <w:tabs>
                                <w:tab w:val="left" w:pos="900"/>
                              </w:tabs>
                              <w:spacing w:after="0" w:line="680" w:lineRule="exact"/>
                              <w:rPr>
                                <w:rFonts w:ascii="Arial" w:hAnsi="Arial" w:cs="Arial"/>
                                <w:b/>
                                <w:sz w:val="56"/>
                                <w:szCs w:val="56"/>
                              </w:rPr>
                            </w:pPr>
                            <w:r w:rsidRPr="00F03B4A">
                              <w:rPr>
                                <w:rFonts w:ascii="Arial" w:hAnsi="Arial" w:cs="Arial"/>
                                <w:b/>
                                <w:sz w:val="56"/>
                                <w:szCs w:val="56"/>
                              </w:rPr>
                              <w:t xml:space="preserve">2016 </w:t>
                            </w:r>
                            <w:r w:rsidR="00F03B4A" w:rsidRPr="00F03B4A">
                              <w:rPr>
                                <w:rFonts w:ascii="Arial" w:hAnsi="Arial" w:cs="Arial"/>
                                <w:b/>
                                <w:sz w:val="56"/>
                                <w:szCs w:val="56"/>
                              </w:rPr>
                              <w:t xml:space="preserve">CHNA </w:t>
                            </w:r>
                            <w:r w:rsidRPr="00F03B4A">
                              <w:rPr>
                                <w:rFonts w:ascii="Arial" w:hAnsi="Arial" w:cs="Arial"/>
                                <w:b/>
                                <w:sz w:val="56"/>
                                <w:szCs w:val="56"/>
                              </w:rPr>
                              <w:t>Executive Summary</w:t>
                            </w:r>
                          </w:p>
                          <w:p w:rsidR="00F03B4A" w:rsidRPr="00F03B4A" w:rsidRDefault="00D44882" w:rsidP="00D44882">
                            <w:pPr>
                              <w:pStyle w:val="ListParagraph"/>
                              <w:numPr>
                                <w:ilvl w:val="0"/>
                                <w:numId w:val="0"/>
                              </w:numPr>
                              <w:tabs>
                                <w:tab w:val="left" w:pos="900"/>
                              </w:tabs>
                              <w:spacing w:after="0" w:line="680" w:lineRule="exact"/>
                              <w:ind w:left="720"/>
                              <w:jc w:val="center"/>
                              <w:rPr>
                                <w:rFonts w:ascii="Arial" w:hAnsi="Arial" w:cs="Arial"/>
                                <w:b/>
                                <w:sz w:val="56"/>
                                <w:szCs w:val="56"/>
                              </w:rPr>
                            </w:pPr>
                            <w:r>
                              <w:rPr>
                                <w:rFonts w:ascii="Arial" w:hAnsi="Arial" w:cs="Arial"/>
                                <w:b/>
                                <w:sz w:val="56"/>
                                <w:szCs w:val="56"/>
                              </w:rPr>
                              <w:t>&amp;</w:t>
                            </w:r>
                          </w:p>
                          <w:p w:rsidR="00F03B4A" w:rsidRPr="00F03B4A" w:rsidRDefault="00F03B4A" w:rsidP="00F03B4A">
                            <w:pPr>
                              <w:tabs>
                                <w:tab w:val="left" w:pos="900"/>
                              </w:tabs>
                              <w:spacing w:after="0" w:line="680" w:lineRule="exact"/>
                              <w:rPr>
                                <w:rFonts w:ascii="Arial" w:hAnsi="Arial" w:cs="Arial"/>
                                <w:b/>
                                <w:sz w:val="56"/>
                                <w:szCs w:val="56"/>
                              </w:rPr>
                            </w:pPr>
                            <w:r>
                              <w:rPr>
                                <w:rFonts w:ascii="Arial" w:hAnsi="Arial" w:cs="Arial"/>
                                <w:b/>
                                <w:sz w:val="56"/>
                                <w:szCs w:val="56"/>
                              </w:rPr>
                              <w:t>S</w:t>
                            </w:r>
                            <w:r w:rsidR="00D44882">
                              <w:rPr>
                                <w:rFonts w:ascii="Arial" w:hAnsi="Arial" w:cs="Arial"/>
                                <w:b/>
                                <w:sz w:val="56"/>
                                <w:szCs w:val="56"/>
                              </w:rPr>
                              <w:t>elected Health Needs/</w:t>
                            </w:r>
                            <w:r>
                              <w:rPr>
                                <w:rFonts w:ascii="Arial" w:hAnsi="Arial" w:cs="Arial"/>
                                <w:b/>
                                <w:sz w:val="56"/>
                                <w:szCs w:val="56"/>
                              </w:rPr>
                              <w:t>Profiles</w:t>
                            </w:r>
                          </w:p>
                          <w:p w:rsidR="00F03B4A" w:rsidRDefault="00F03B4A" w:rsidP="003D3661">
                            <w:pPr>
                              <w:jc w:val="right"/>
                              <w:rPr>
                                <w:rFonts w:ascii="Arial" w:hAnsi="Arial" w:cs="Arial"/>
                                <w:b/>
                                <w:sz w:val="28"/>
                                <w:szCs w:val="48"/>
                              </w:rPr>
                            </w:pPr>
                          </w:p>
                          <w:p w:rsidR="00F03B4A" w:rsidRDefault="00F03B4A" w:rsidP="003D3661">
                            <w:pPr>
                              <w:jc w:val="right"/>
                              <w:rPr>
                                <w:rFonts w:ascii="Arial" w:hAnsi="Arial" w:cs="Arial"/>
                                <w:b/>
                                <w:sz w:val="28"/>
                                <w:szCs w:val="48"/>
                              </w:rPr>
                            </w:pPr>
                          </w:p>
                          <w:p w:rsidR="00F03B4A" w:rsidRDefault="00F03B4A" w:rsidP="003D3661">
                            <w:pPr>
                              <w:jc w:val="right"/>
                              <w:rPr>
                                <w:rFonts w:ascii="Arial" w:hAnsi="Arial" w:cs="Arial"/>
                                <w:b/>
                                <w:sz w:val="28"/>
                                <w:szCs w:val="48"/>
                              </w:rPr>
                            </w:pPr>
                          </w:p>
                          <w:p w:rsidR="007948A4" w:rsidRPr="003D3661" w:rsidRDefault="007948A4" w:rsidP="003D3661">
                            <w:pPr>
                              <w:jc w:val="right"/>
                              <w:rPr>
                                <w:rFonts w:ascii="Arial" w:hAnsi="Arial" w:cs="Arial"/>
                                <w:b/>
                                <w:sz w:val="28"/>
                                <w:szCs w:val="48"/>
                              </w:rPr>
                            </w:pPr>
                            <w:r w:rsidRPr="003D3661">
                              <w:rPr>
                                <w:rFonts w:ascii="Arial" w:hAnsi="Arial" w:cs="Arial"/>
                                <w:b/>
                                <w:sz w:val="28"/>
                                <w:szCs w:val="48"/>
                              </w:rPr>
                              <w:t>Kai</w:t>
                            </w:r>
                            <w:r w:rsidR="00F03B4A">
                              <w:rPr>
                                <w:rFonts w:ascii="Arial" w:hAnsi="Arial" w:cs="Arial"/>
                                <w:b/>
                                <w:sz w:val="28"/>
                                <w:szCs w:val="48"/>
                              </w:rPr>
                              <w:t xml:space="preserve">ser Foundation Hospitals Fontana and </w:t>
                            </w:r>
                            <w:r w:rsidRPr="003D3661">
                              <w:rPr>
                                <w:rFonts w:ascii="Arial" w:hAnsi="Arial" w:cs="Arial"/>
                                <w:b/>
                                <w:sz w:val="28"/>
                                <w:szCs w:val="48"/>
                              </w:rPr>
                              <w:t xml:space="preserve">Ontario </w:t>
                            </w:r>
                          </w:p>
                          <w:p w:rsidR="007948A4" w:rsidRPr="003D3661" w:rsidRDefault="007948A4" w:rsidP="003D3661">
                            <w:pPr>
                              <w:jc w:val="right"/>
                              <w:rPr>
                                <w:rFonts w:ascii="Arial" w:hAnsi="Arial" w:cs="Arial"/>
                                <w:sz w:val="28"/>
                                <w:szCs w:val="48"/>
                              </w:rPr>
                            </w:pP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793B0" id="_x0000_t202" coordsize="21600,21600" o:spt="202" path="m,l,21600r21600,l21600,xe">
                <v:stroke joinstyle="miter"/>
                <v:path gradientshapeok="t" o:connecttype="rect"/>
              </v:shapetype>
              <v:shape id="Text Box 2" o:spid="_x0000_s1026" type="#_x0000_t202" style="position:absolute;margin-left:34.5pt;margin-top:20.6pt;width:467.4pt;height:23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" filled="f" stroked="f">
                <v:textbox inset="0,,,0">
                  <w:txbxContent>
                    <w:p w:rsidR="007948A4" w:rsidRDefault="007948A4" w:rsidP="00F03B4A">
                      <w:pPr>
                        <w:tabs>
                          <w:tab w:val="left" w:pos="900"/>
                        </w:tabs>
                        <w:spacing w:after="0" w:line="680" w:lineRule="exact"/>
                        <w:rPr>
                          <w:rFonts w:ascii="Arial" w:hAnsi="Arial" w:cs="Arial"/>
                          <w:b/>
                          <w:sz w:val="56"/>
                          <w:szCs w:val="56"/>
                        </w:rPr>
                      </w:pPr>
                      <w:r w:rsidRPr="00F03B4A">
                        <w:rPr>
                          <w:rFonts w:ascii="Arial" w:hAnsi="Arial" w:cs="Arial"/>
                          <w:b/>
                          <w:sz w:val="56"/>
                          <w:szCs w:val="56"/>
                        </w:rPr>
                        <w:t xml:space="preserve">2016 </w:t>
                      </w:r>
                      <w:r w:rsidR="00F03B4A" w:rsidRPr="00F03B4A">
                        <w:rPr>
                          <w:rFonts w:ascii="Arial" w:hAnsi="Arial" w:cs="Arial"/>
                          <w:b/>
                          <w:sz w:val="56"/>
                          <w:szCs w:val="56"/>
                        </w:rPr>
                        <w:t xml:space="preserve">CHNA </w:t>
                      </w:r>
                      <w:r w:rsidRPr="00F03B4A">
                        <w:rPr>
                          <w:rFonts w:ascii="Arial" w:hAnsi="Arial" w:cs="Arial"/>
                          <w:b/>
                          <w:sz w:val="56"/>
                          <w:szCs w:val="56"/>
                        </w:rPr>
                        <w:t>Executive Summary</w:t>
                      </w:r>
                    </w:p>
                    <w:p w:rsidR="00F03B4A" w:rsidRPr="00F03B4A" w:rsidRDefault="00D44882" w:rsidP="00D44882">
                      <w:pPr>
                        <w:pStyle w:val="ListParagraph"/>
                        <w:numPr>
                          <w:ilvl w:val="0"/>
                          <w:numId w:val="0"/>
                        </w:numPr>
                        <w:tabs>
                          <w:tab w:val="left" w:pos="900"/>
                        </w:tabs>
                        <w:spacing w:after="0" w:line="680" w:lineRule="exact"/>
                        <w:ind w:left="720"/>
                        <w:jc w:val="center"/>
                        <w:rPr>
                          <w:rFonts w:ascii="Arial" w:hAnsi="Arial" w:cs="Arial"/>
                          <w:b/>
                          <w:sz w:val="56"/>
                          <w:szCs w:val="56"/>
                        </w:rPr>
                      </w:pPr>
                      <w:r>
                        <w:rPr>
                          <w:rFonts w:ascii="Arial" w:hAnsi="Arial" w:cs="Arial"/>
                          <w:b/>
                          <w:sz w:val="56"/>
                          <w:szCs w:val="56"/>
                        </w:rPr>
                        <w:t>&amp;</w:t>
                      </w:r>
                    </w:p>
                    <w:p w:rsidR="00F03B4A" w:rsidRPr="00F03B4A" w:rsidRDefault="00F03B4A" w:rsidP="00F03B4A">
                      <w:pPr>
                        <w:tabs>
                          <w:tab w:val="left" w:pos="900"/>
                        </w:tabs>
                        <w:spacing w:after="0" w:line="680" w:lineRule="exact"/>
                        <w:rPr>
                          <w:rFonts w:ascii="Arial" w:hAnsi="Arial" w:cs="Arial"/>
                          <w:b/>
                          <w:sz w:val="56"/>
                          <w:szCs w:val="56"/>
                        </w:rPr>
                      </w:pPr>
                      <w:r>
                        <w:rPr>
                          <w:rFonts w:ascii="Arial" w:hAnsi="Arial" w:cs="Arial"/>
                          <w:b/>
                          <w:sz w:val="56"/>
                          <w:szCs w:val="56"/>
                        </w:rPr>
                        <w:t>S</w:t>
                      </w:r>
                      <w:r w:rsidR="00D44882">
                        <w:rPr>
                          <w:rFonts w:ascii="Arial" w:hAnsi="Arial" w:cs="Arial"/>
                          <w:b/>
                          <w:sz w:val="56"/>
                          <w:szCs w:val="56"/>
                        </w:rPr>
                        <w:t>elected Health Needs/</w:t>
                      </w:r>
                      <w:r>
                        <w:rPr>
                          <w:rFonts w:ascii="Arial" w:hAnsi="Arial" w:cs="Arial"/>
                          <w:b/>
                          <w:sz w:val="56"/>
                          <w:szCs w:val="56"/>
                        </w:rPr>
                        <w:t>Profiles</w:t>
                      </w:r>
                    </w:p>
                    <w:p w:rsidR="00F03B4A" w:rsidRDefault="00F03B4A" w:rsidP="003D3661">
                      <w:pPr>
                        <w:jc w:val="right"/>
                        <w:rPr>
                          <w:rFonts w:ascii="Arial" w:hAnsi="Arial" w:cs="Arial"/>
                          <w:b/>
                          <w:sz w:val="28"/>
                          <w:szCs w:val="48"/>
                        </w:rPr>
                      </w:pPr>
                    </w:p>
                    <w:p w:rsidR="00F03B4A" w:rsidRDefault="00F03B4A" w:rsidP="003D3661">
                      <w:pPr>
                        <w:jc w:val="right"/>
                        <w:rPr>
                          <w:rFonts w:ascii="Arial" w:hAnsi="Arial" w:cs="Arial"/>
                          <w:b/>
                          <w:sz w:val="28"/>
                          <w:szCs w:val="48"/>
                        </w:rPr>
                      </w:pPr>
                    </w:p>
                    <w:p w:rsidR="00F03B4A" w:rsidRDefault="00F03B4A" w:rsidP="003D3661">
                      <w:pPr>
                        <w:jc w:val="right"/>
                        <w:rPr>
                          <w:rFonts w:ascii="Arial" w:hAnsi="Arial" w:cs="Arial"/>
                          <w:b/>
                          <w:sz w:val="28"/>
                          <w:szCs w:val="48"/>
                        </w:rPr>
                      </w:pPr>
                    </w:p>
                    <w:p w:rsidR="007948A4" w:rsidRPr="003D3661" w:rsidRDefault="007948A4" w:rsidP="003D3661">
                      <w:pPr>
                        <w:jc w:val="right"/>
                        <w:rPr>
                          <w:rFonts w:ascii="Arial" w:hAnsi="Arial" w:cs="Arial"/>
                          <w:b/>
                          <w:sz w:val="28"/>
                          <w:szCs w:val="48"/>
                        </w:rPr>
                      </w:pPr>
                      <w:r w:rsidRPr="003D3661">
                        <w:rPr>
                          <w:rFonts w:ascii="Arial" w:hAnsi="Arial" w:cs="Arial"/>
                          <w:b/>
                          <w:sz w:val="28"/>
                          <w:szCs w:val="48"/>
                        </w:rPr>
                        <w:t>Kai</w:t>
                      </w:r>
                      <w:r w:rsidR="00F03B4A">
                        <w:rPr>
                          <w:rFonts w:ascii="Arial" w:hAnsi="Arial" w:cs="Arial"/>
                          <w:b/>
                          <w:sz w:val="28"/>
                          <w:szCs w:val="48"/>
                        </w:rPr>
                        <w:t xml:space="preserve">ser Foundation Hospitals Fontana and </w:t>
                      </w:r>
                      <w:r w:rsidRPr="003D3661">
                        <w:rPr>
                          <w:rFonts w:ascii="Arial" w:hAnsi="Arial" w:cs="Arial"/>
                          <w:b/>
                          <w:sz w:val="28"/>
                          <w:szCs w:val="48"/>
                        </w:rPr>
                        <w:t xml:space="preserve">Ontario </w:t>
                      </w:r>
                    </w:p>
                    <w:p w:rsidR="007948A4" w:rsidRPr="003D3661" w:rsidRDefault="007948A4" w:rsidP="003D3661">
                      <w:pPr>
                        <w:jc w:val="right"/>
                        <w:rPr>
                          <w:rFonts w:ascii="Arial" w:hAnsi="Arial" w:cs="Arial"/>
                          <w:sz w:val="28"/>
                          <w:szCs w:val="48"/>
                        </w:rPr>
                      </w:pPr>
                    </w:p>
                  </w:txbxContent>
                </v:textbox>
                <w10:wrap type="square"/>
              </v:shape>
            </w:pict>
          </mc:Fallback>
        </mc:AlternateContent>
      </w: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3D3661" w:rsidRDefault="003D3661" w:rsidP="00B26DA4">
      <w:pPr>
        <w:ind w:right="-3600"/>
      </w:pPr>
    </w:p>
    <w:p w:rsidR="00F84B15" w:rsidRDefault="00F84B15" w:rsidP="00B26DA4">
      <w:pPr>
        <w:ind w:right="-3600"/>
      </w:pPr>
    </w:p>
    <w:p w:rsidR="00F84B15" w:rsidRPr="00D44882" w:rsidRDefault="00F84B15" w:rsidP="00F84B15">
      <w:pPr>
        <w:spacing w:before="240" w:line="240" w:lineRule="auto"/>
        <w:ind w:left="-17" w:right="-3600"/>
        <w:outlineLvl w:val="0"/>
        <w:rPr>
          <w:rFonts w:ascii="Arial" w:eastAsia="Arial" w:hAnsi="Arial" w:cs="Arial"/>
          <w:b/>
          <w:color w:val="0070C0"/>
          <w:sz w:val="32"/>
          <w:szCs w:val="32"/>
        </w:rPr>
      </w:pPr>
      <w:bookmarkStart w:id="0" w:name="_Toc452498386"/>
      <w:r w:rsidRPr="00D44882">
        <w:rPr>
          <w:rFonts w:ascii="Arial" w:eastAsia="Arial" w:hAnsi="Arial" w:cs="Arial"/>
          <w:b/>
          <w:color w:val="0070C0"/>
          <w:sz w:val="32"/>
          <w:szCs w:val="32"/>
        </w:rPr>
        <w:lastRenderedPageBreak/>
        <w:t>I. Executive Summary</w:t>
      </w:r>
      <w:bookmarkEnd w:id="0"/>
    </w:p>
    <w:p w:rsidR="00F84B15" w:rsidRPr="009920E4" w:rsidRDefault="00F84B15" w:rsidP="00F84B15">
      <w:pPr>
        <w:spacing w:after="0" w:line="240" w:lineRule="auto"/>
        <w:ind w:right="90"/>
        <w:rPr>
          <w:rFonts w:ascii="Arial" w:eastAsia="Arial" w:hAnsi="Arial" w:cs="Arial"/>
          <w:color w:val="000000"/>
          <w:sz w:val="22"/>
          <w:szCs w:val="22"/>
        </w:rPr>
      </w:pPr>
      <w:r w:rsidRPr="009920E4">
        <w:rPr>
          <w:rFonts w:ascii="Arial" w:eastAsia="Arial" w:hAnsi="Arial" w:cs="Arial"/>
          <w:color w:val="000000"/>
          <w:sz w:val="22"/>
          <w:szCs w:val="22"/>
        </w:rPr>
        <w:t xml:space="preserve">Kaiser Permanente is an integrated health care delivery system comprised of Kaiser Foundation Hospitals (KFH), Kaiser Foundation Health Plan (KFHP), and physicians in the Permanente Medical Groups. Community Health Needs Assessments (CHNAs) are essential for understanding community level health outcomes and the social determinants of health that can lead to morbidity and premature mortality. </w:t>
      </w:r>
    </w:p>
    <w:p w:rsidR="00F84B15" w:rsidRPr="009920E4" w:rsidRDefault="00F84B15" w:rsidP="00F84B15">
      <w:pPr>
        <w:spacing w:after="0" w:line="240" w:lineRule="auto"/>
        <w:ind w:right="-3600"/>
        <w:rPr>
          <w:rFonts w:ascii="Arial" w:eastAsia="Arial" w:hAnsi="Arial" w:cs="Arial"/>
          <w:color w:val="000000"/>
          <w:sz w:val="22"/>
          <w:szCs w:val="22"/>
        </w:rPr>
      </w:pPr>
    </w:p>
    <w:p w:rsidR="00F84B15" w:rsidRPr="009920E4" w:rsidRDefault="00F84B15" w:rsidP="00F84B15">
      <w:pPr>
        <w:spacing w:after="0" w:line="240" w:lineRule="auto"/>
        <w:rPr>
          <w:rFonts w:ascii="Arial" w:eastAsia="Arial" w:hAnsi="Arial" w:cs="Arial"/>
          <w:color w:val="000000"/>
          <w:sz w:val="22"/>
          <w:szCs w:val="22"/>
        </w:rPr>
      </w:pPr>
      <w:r w:rsidRPr="009920E4">
        <w:rPr>
          <w:rFonts w:ascii="Arial" w:eastAsia="Arial" w:hAnsi="Arial" w:cs="Arial"/>
          <w:color w:val="000000"/>
          <w:sz w:val="22"/>
          <w:szCs w:val="22"/>
        </w:rPr>
        <w:t xml:space="preserve">The </w:t>
      </w:r>
      <w:r w:rsidRPr="009920E4">
        <w:rPr>
          <w:rFonts w:ascii="Arial" w:eastAsia="Arial" w:hAnsi="Arial" w:cs="Arial"/>
          <w:b/>
          <w:color w:val="000000"/>
          <w:sz w:val="22"/>
          <w:szCs w:val="22"/>
        </w:rPr>
        <w:t>Fontana Medical Center</w:t>
      </w:r>
      <w:r w:rsidRPr="009920E4">
        <w:rPr>
          <w:rFonts w:ascii="Arial" w:eastAsia="Arial" w:hAnsi="Arial" w:cs="Arial"/>
          <w:color w:val="000000"/>
          <w:sz w:val="22"/>
          <w:szCs w:val="22"/>
        </w:rPr>
        <w:t xml:space="preserve"> is located in central San Bernardino County with medical offices located throughout the region in Colton, Redlands, San Bernardino, and Victorville. KFH-Fontana has a geographically expansive service area, encompassing both high-density urban population centers and more rural areas (such as the mountain and high desert communities). The Medical Center Service Area includes the following cities: Angelus Oaks, Apple Valley, Banning (Riverside County), Beaumont (Riverside County), Big Bear City, Big Bear Lake, Bloomington, Bryn Mawr, Calimesa, Colton, Fontana, Forest Falls, Grand Terrace, Hesperia, Highland, Loma Linda, Lytle Creek, Mentone, Phelan, Pinon Hills, Redlands, Rialto, San Bernardino, Victorville, Wrightwood, Yucaipa. In general, health outcomes in this service area are less favorable than those in the KFH-Ontario Medical Center Service Area and there are significant health disparities, which often correspond with specific racial/ethnic populations, geographic regions, and socioeconomic groups. </w:t>
      </w:r>
    </w:p>
    <w:p w:rsidR="00F84B15" w:rsidRPr="009920E4" w:rsidRDefault="00F84B15" w:rsidP="00F84B15">
      <w:pPr>
        <w:spacing w:after="0" w:line="240" w:lineRule="auto"/>
        <w:rPr>
          <w:rFonts w:ascii="Arial" w:eastAsia="Arial" w:hAnsi="Arial" w:cs="Arial"/>
          <w:color w:val="000000"/>
          <w:sz w:val="22"/>
          <w:szCs w:val="22"/>
        </w:rPr>
      </w:pPr>
    </w:p>
    <w:p w:rsidR="00F84B15" w:rsidRPr="009920E4" w:rsidRDefault="00F84B15" w:rsidP="00F84B15">
      <w:pPr>
        <w:spacing w:after="0" w:line="240" w:lineRule="auto"/>
        <w:rPr>
          <w:rFonts w:ascii="Arial" w:eastAsia="Arial" w:hAnsi="Arial" w:cs="Arial"/>
          <w:color w:val="000000"/>
          <w:sz w:val="22"/>
          <w:szCs w:val="22"/>
        </w:rPr>
      </w:pPr>
      <w:r w:rsidRPr="009920E4">
        <w:rPr>
          <w:rFonts w:ascii="Arial" w:eastAsia="Arial" w:hAnsi="Arial" w:cs="Arial"/>
          <w:color w:val="000000"/>
          <w:sz w:val="22"/>
          <w:szCs w:val="22"/>
        </w:rPr>
        <w:t xml:space="preserve">The </w:t>
      </w:r>
      <w:r w:rsidRPr="009920E4">
        <w:rPr>
          <w:rFonts w:ascii="Arial" w:eastAsia="Arial" w:hAnsi="Arial" w:cs="Arial"/>
          <w:b/>
          <w:color w:val="000000"/>
          <w:sz w:val="22"/>
          <w:szCs w:val="22"/>
        </w:rPr>
        <w:t>Ontario Medical Center</w:t>
      </w:r>
      <w:r w:rsidRPr="009920E4">
        <w:rPr>
          <w:rFonts w:ascii="Arial" w:eastAsia="Arial" w:hAnsi="Arial" w:cs="Arial"/>
          <w:color w:val="000000"/>
          <w:sz w:val="22"/>
          <w:szCs w:val="22"/>
        </w:rPr>
        <w:t xml:space="preserve"> is located in the West End of San Bernardino County with medical offices located throughout the region in Chino, Claremont, Rancho Cucamonga and Upland. The Medical Center Service Area includes the following cities: Chino, Chino Hills, Claremont, Mira Loma (Riverside County), Montclair, Ontario, Pomona (Los Angeles County), Rancho Cucamonga, and Upland . Though in general, health outcomes in this service area are more favorable than those in the KFH-Fontana Medical Center Service Area, there are significant health disparities, which often correspond with specific racial/ethnic populations and socioeconomic groups. </w:t>
      </w:r>
    </w:p>
    <w:p w:rsidR="009920E4" w:rsidRPr="009920E4" w:rsidRDefault="009920E4" w:rsidP="00F84B15">
      <w:pPr>
        <w:spacing w:after="0" w:line="240" w:lineRule="auto"/>
        <w:rPr>
          <w:rFonts w:ascii="Arial" w:eastAsia="Arial" w:hAnsi="Arial" w:cs="Arial"/>
          <w:color w:val="000000"/>
          <w:sz w:val="22"/>
          <w:szCs w:val="22"/>
        </w:rPr>
      </w:pPr>
    </w:p>
    <w:p w:rsidR="009920E4" w:rsidRPr="009920E4" w:rsidRDefault="009920E4" w:rsidP="00F84B15">
      <w:pPr>
        <w:spacing w:after="0" w:line="240" w:lineRule="auto"/>
        <w:rPr>
          <w:rFonts w:ascii="Arial" w:eastAsia="Arial" w:hAnsi="Arial" w:cs="Arial"/>
          <w:color w:val="000000"/>
          <w:sz w:val="22"/>
          <w:szCs w:val="22"/>
        </w:rPr>
      </w:pPr>
      <w:r w:rsidRPr="009920E4">
        <w:rPr>
          <w:rFonts w:ascii="Arial" w:eastAsia="Arial" w:hAnsi="Arial" w:cs="Arial"/>
          <w:color w:val="000000"/>
          <w:sz w:val="22"/>
          <w:szCs w:val="22"/>
        </w:rPr>
        <w:t>This report documents the Community Health Needs Assessment (CHNA) conducted for KFH-Fontana/Ontario Medical Center Service Areas. The results of the CHNA will inform the development of implementation strategies developed by KFH- Fontana/Ontario to address the health needs in the community. This executive summary is intended to provide a high level snapshot of the CHNA regulations governing hospitals, the list of prioritized health needs found in the report, the methodology used to identify those health needs, and a summary of the overall assessment.</w:t>
      </w:r>
    </w:p>
    <w:p w:rsidR="009920E4" w:rsidRPr="009920E4" w:rsidRDefault="009920E4" w:rsidP="00F84B15">
      <w:pPr>
        <w:spacing w:after="120" w:line="240" w:lineRule="auto"/>
        <w:rPr>
          <w:rFonts w:ascii="Arial" w:eastAsia="Arial" w:hAnsi="Arial" w:cs="Arial"/>
          <w:color w:val="000000"/>
          <w:sz w:val="22"/>
          <w:szCs w:val="22"/>
        </w:rPr>
      </w:pPr>
    </w:p>
    <w:p w:rsidR="009920E4" w:rsidRPr="009920E4" w:rsidRDefault="009920E4" w:rsidP="00F84B15">
      <w:pPr>
        <w:numPr>
          <w:ilvl w:val="0"/>
          <w:numId w:val="33"/>
        </w:numPr>
        <w:spacing w:after="120" w:line="240" w:lineRule="auto"/>
        <w:outlineLvl w:val="1"/>
        <w:rPr>
          <w:rFonts w:ascii="Arial" w:eastAsia="Arial" w:hAnsi="Arial" w:cs="Arial"/>
          <w:color w:val="006D9D"/>
          <w:sz w:val="32"/>
          <w:szCs w:val="32"/>
        </w:rPr>
      </w:pPr>
      <w:bookmarkStart w:id="1" w:name="h.pf9y0wtsq09y" w:colFirst="0" w:colLast="0"/>
      <w:bookmarkStart w:id="2" w:name="_Toc452498387"/>
      <w:bookmarkEnd w:id="1"/>
      <w:r w:rsidRPr="009920E4">
        <w:rPr>
          <w:rFonts w:ascii="Arial" w:eastAsia="Arial" w:hAnsi="Arial" w:cs="Arial"/>
          <w:color w:val="006D9D"/>
          <w:sz w:val="32"/>
          <w:szCs w:val="32"/>
        </w:rPr>
        <w:t>Community Health Needs Assessment (CHNA Background)</w:t>
      </w:r>
      <w:bookmarkEnd w:id="2"/>
    </w:p>
    <w:p w:rsidR="00F03B4A" w:rsidRDefault="009920E4" w:rsidP="00F84B15">
      <w:pPr>
        <w:spacing w:after="120" w:line="240" w:lineRule="auto"/>
        <w:rPr>
          <w:rFonts w:ascii="Arial" w:eastAsia="Arial" w:hAnsi="Arial" w:cs="Arial"/>
          <w:color w:val="000000"/>
          <w:sz w:val="22"/>
          <w:szCs w:val="24"/>
        </w:rPr>
      </w:pPr>
      <w:r w:rsidRPr="009920E4">
        <w:rPr>
          <w:rFonts w:ascii="Arial" w:eastAsia="Arial" w:hAnsi="Arial" w:cs="Arial"/>
          <w:color w:val="000000"/>
          <w:sz w:val="22"/>
          <w:szCs w:val="24"/>
        </w:rPr>
        <w:t>The Patient Protection and Affordable Care Act (ACA) enacted on March 23, 2010, included new requirements for nonprofit hospitals in order to maintain their tax exempt status. The provision was the subject of final regulations providing guidance on the requirements of section 501(r) of the Internal Revenue Code. Included in the new regulations is a requirement that all nonprofit hospitals must conduct a community health needs assessment (CHNA) and develop an implementation strategy (IS) every three years (</w:t>
      </w:r>
      <w:hyperlink r:id="rId9">
        <w:r w:rsidRPr="009920E4">
          <w:rPr>
            <w:rFonts w:ascii="Arial" w:eastAsia="Arial" w:hAnsi="Arial" w:cs="Arial"/>
            <w:color w:val="1155CC"/>
            <w:sz w:val="22"/>
            <w:szCs w:val="24"/>
            <w:u w:val="single"/>
          </w:rPr>
          <w:t>http://www.gpo.gov/fdsys/pkg/FR-2014-12-31/pdf/2014-30525.pdf</w:t>
        </w:r>
      </w:hyperlink>
      <w:r w:rsidRPr="009920E4">
        <w:rPr>
          <w:rFonts w:ascii="Arial" w:eastAsia="Arial" w:hAnsi="Arial" w:cs="Arial"/>
          <w:color w:val="000000"/>
          <w:sz w:val="22"/>
          <w:szCs w:val="24"/>
        </w:rPr>
        <w:t>).</w:t>
      </w:r>
    </w:p>
    <w:p w:rsidR="00D44882" w:rsidRPr="009920E4" w:rsidRDefault="00D44882" w:rsidP="00F84B15">
      <w:pPr>
        <w:spacing w:after="120" w:line="240" w:lineRule="auto"/>
        <w:rPr>
          <w:rFonts w:ascii="Arial" w:eastAsia="Arial" w:hAnsi="Arial" w:cs="Arial"/>
          <w:color w:val="000000"/>
          <w:sz w:val="22"/>
          <w:szCs w:val="24"/>
        </w:rPr>
      </w:pPr>
    </w:p>
    <w:p w:rsidR="009920E4" w:rsidRPr="009920E4" w:rsidRDefault="009920E4" w:rsidP="00F84B15">
      <w:pPr>
        <w:spacing w:after="120" w:line="240" w:lineRule="auto"/>
        <w:rPr>
          <w:rFonts w:ascii="Arial" w:eastAsia="Arial" w:hAnsi="Arial" w:cs="Arial"/>
          <w:color w:val="000000"/>
          <w:sz w:val="22"/>
          <w:szCs w:val="24"/>
        </w:rPr>
      </w:pPr>
      <w:r w:rsidRPr="009920E4">
        <w:rPr>
          <w:rFonts w:ascii="Arial" w:eastAsia="Arial" w:hAnsi="Arial" w:cs="Arial"/>
          <w:color w:val="000000"/>
          <w:sz w:val="22"/>
          <w:szCs w:val="24"/>
        </w:rPr>
        <w:t xml:space="preserve">While Kaiser Permanente has conducted CHNAs for many years to identify needs and </w:t>
      </w:r>
      <w:r w:rsidRPr="009920E4">
        <w:rPr>
          <w:rFonts w:ascii="Arial" w:eastAsia="Arial" w:hAnsi="Arial" w:cs="Arial"/>
          <w:color w:val="000000"/>
          <w:sz w:val="22"/>
          <w:szCs w:val="24"/>
        </w:rPr>
        <w:lastRenderedPageBreak/>
        <w:t>resources in our communities and to guide our Community Benefit plans, these new requirements have provided an opportunity to revisit our needs assessment and strategic planning processes with an eye toward enhancing compliance and transparency and leveraging emerging technologies. The CHNA process undertaken in 2016 and described in this report was conducted in compliance with current federal requirements.</w:t>
      </w:r>
    </w:p>
    <w:p w:rsidR="009920E4" w:rsidRPr="009920E4" w:rsidRDefault="009920E4" w:rsidP="00F84B15">
      <w:pPr>
        <w:numPr>
          <w:ilvl w:val="0"/>
          <w:numId w:val="33"/>
        </w:numPr>
        <w:spacing w:after="120" w:line="240" w:lineRule="auto"/>
        <w:outlineLvl w:val="1"/>
        <w:rPr>
          <w:rFonts w:ascii="Arial" w:eastAsia="Arial" w:hAnsi="Arial" w:cs="Arial"/>
          <w:color w:val="006D9D"/>
          <w:sz w:val="32"/>
          <w:szCs w:val="32"/>
        </w:rPr>
      </w:pPr>
      <w:bookmarkStart w:id="3" w:name="h.elenozjlso82" w:colFirst="0" w:colLast="0"/>
      <w:bookmarkStart w:id="4" w:name="_Toc452498388"/>
      <w:bookmarkEnd w:id="3"/>
      <w:r w:rsidRPr="009920E4">
        <w:rPr>
          <w:rFonts w:ascii="Arial" w:eastAsia="Arial" w:hAnsi="Arial" w:cs="Arial"/>
          <w:color w:val="006D9D"/>
          <w:sz w:val="32"/>
          <w:szCs w:val="32"/>
        </w:rPr>
        <w:t>Summary of Prioritized Needs</w:t>
      </w:r>
      <w:bookmarkEnd w:id="4"/>
    </w:p>
    <w:p w:rsidR="009920E4" w:rsidRPr="009920E4" w:rsidRDefault="009920E4" w:rsidP="00F84B15">
      <w:pPr>
        <w:spacing w:after="120" w:line="240" w:lineRule="auto"/>
        <w:rPr>
          <w:rFonts w:ascii="Arial" w:eastAsia="Arial" w:hAnsi="Arial" w:cs="Arial"/>
          <w:color w:val="000000"/>
          <w:sz w:val="22"/>
          <w:szCs w:val="22"/>
        </w:rPr>
      </w:pPr>
      <w:r w:rsidRPr="009920E4">
        <w:rPr>
          <w:rFonts w:ascii="Arial" w:eastAsia="Arial" w:hAnsi="Arial" w:cs="Arial"/>
          <w:color w:val="000000"/>
          <w:sz w:val="22"/>
          <w:szCs w:val="22"/>
        </w:rPr>
        <w:t>The following are the prioritized health needs for KFH-Fontana/Ontario Medical Center Service Area (MCSA). They are listed below in order of highest priority to lowest priority. These health needs were prioritized by geographically representative groups of stakeholders across a total of three community health needs prioritization sessions:  Ontario (January 11, 2016) and Fontana (January 13, and 15, 2016).</w:t>
      </w:r>
    </w:p>
    <w:tbl>
      <w:tblPr>
        <w:tblStyle w:val="LightList1"/>
        <w:tblW w:w="5000" w:type="pct"/>
        <w:tblLook w:val="04A0" w:firstRow="1" w:lastRow="0" w:firstColumn="1" w:lastColumn="0" w:noHBand="0" w:noVBand="1"/>
      </w:tblPr>
      <w:tblGrid>
        <w:gridCol w:w="5030"/>
        <w:gridCol w:w="5030"/>
      </w:tblGrid>
      <w:tr w:rsidR="009920E4" w:rsidRPr="009920E4" w:rsidTr="005952F9">
        <w:trPr>
          <w:cnfStyle w:val="100000000000" w:firstRow="1" w:lastRow="0" w:firstColumn="0" w:lastColumn="0" w:oddVBand="0" w:evenVBand="0" w:oddHBand="0" w:evenHBand="0" w:firstRowFirstColumn="0" w:firstRowLastColumn="0" w:lastRowFirstColumn="0" w:lastRowLastColumn="0"/>
          <w:cantSplit/>
          <w:trHeight w:val="403"/>
        </w:trPr>
        <w:tc>
          <w:tcPr>
            <w:cnfStyle w:val="001000000000" w:firstRow="0" w:lastRow="0" w:firstColumn="1" w:lastColumn="0" w:oddVBand="0" w:evenVBand="0" w:oddHBand="0" w:evenHBand="0" w:firstRowFirstColumn="0" w:firstRowLastColumn="0" w:lastRowFirstColumn="0" w:lastRowLastColumn="0"/>
            <w:tcW w:w="2500" w:type="pct"/>
            <w:tcBorders>
              <w:bottom w:val="nil"/>
            </w:tcBorders>
          </w:tcPr>
          <w:p w:rsidR="009920E4" w:rsidRPr="004153CA" w:rsidRDefault="009920E4" w:rsidP="005952F9">
            <w:pPr>
              <w:spacing w:after="120" w:line="240" w:lineRule="auto"/>
              <w:ind w:right="-3600"/>
              <w:rPr>
                <w:rFonts w:ascii="Arial" w:hAnsi="Arial" w:cs="Arial"/>
                <w:color w:val="FFFFFF" w:themeColor="background1"/>
                <w:sz w:val="28"/>
                <w:szCs w:val="28"/>
              </w:rPr>
            </w:pPr>
            <w:r w:rsidRPr="004153CA">
              <w:rPr>
                <w:rFonts w:ascii="Arial" w:hAnsi="Arial" w:cs="Arial"/>
                <w:color w:val="FFFFFF" w:themeColor="background1"/>
                <w:sz w:val="28"/>
                <w:szCs w:val="28"/>
              </w:rPr>
              <w:t>KFH Fontana MCSA</w:t>
            </w:r>
          </w:p>
        </w:tc>
        <w:tc>
          <w:tcPr>
            <w:tcW w:w="2500" w:type="pct"/>
            <w:tcBorders>
              <w:bottom w:val="nil"/>
            </w:tcBorders>
          </w:tcPr>
          <w:p w:rsidR="009920E4" w:rsidRPr="004153CA" w:rsidRDefault="009920E4" w:rsidP="005952F9">
            <w:pPr>
              <w:spacing w:after="120" w:line="240" w:lineRule="auto"/>
              <w:ind w:right="-360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8"/>
                <w:szCs w:val="28"/>
              </w:rPr>
            </w:pPr>
            <w:r w:rsidRPr="004153CA">
              <w:rPr>
                <w:rFonts w:ascii="Arial" w:hAnsi="Arial" w:cs="Arial"/>
                <w:color w:val="FFFFFF" w:themeColor="background1"/>
                <w:sz w:val="28"/>
                <w:szCs w:val="28"/>
              </w:rPr>
              <w:t xml:space="preserve">KFH Ontario MCSA </w:t>
            </w:r>
          </w:p>
        </w:tc>
      </w:tr>
      <w:tr w:rsidR="009920E4" w:rsidRPr="009920E4" w:rsidTr="005952F9">
        <w:trPr>
          <w:cnfStyle w:val="000000100000" w:firstRow="0" w:lastRow="0" w:firstColumn="0" w:lastColumn="0" w:oddVBand="0" w:evenVBand="0" w:oddHBand="1" w:evenHBand="0" w:firstRowFirstColumn="0" w:firstRowLastColumn="0" w:lastRowFirstColumn="0" w:lastRowLastColumn="0"/>
          <w:cantSplit/>
          <w:trHeight w:val="403"/>
        </w:trPr>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tcPr>
          <w:p w:rsidR="009920E4" w:rsidRPr="009920E4" w:rsidRDefault="009920E4" w:rsidP="005952F9">
            <w:pPr>
              <w:spacing w:after="120" w:line="240" w:lineRule="auto"/>
              <w:ind w:right="-3600"/>
              <w:rPr>
                <w:rFonts w:ascii="Arial" w:hAnsi="Arial" w:cs="Arial"/>
                <w:sz w:val="28"/>
                <w:szCs w:val="28"/>
              </w:rPr>
            </w:pPr>
          </w:p>
        </w:tc>
        <w:tc>
          <w:tcPr>
            <w:tcW w:w="2500" w:type="pct"/>
            <w:tcBorders>
              <w:top w:val="nil"/>
              <w:left w:val="nil"/>
              <w:bottom w:val="nil"/>
              <w:right w:val="nil"/>
            </w:tcBorders>
          </w:tcPr>
          <w:p w:rsidR="009920E4" w:rsidRPr="009920E4" w:rsidRDefault="009920E4" w:rsidP="005952F9">
            <w:pPr>
              <w:spacing w:after="120" w:line="240" w:lineRule="auto"/>
              <w:ind w:right="-3600"/>
              <w:cnfStyle w:val="000000100000" w:firstRow="0" w:lastRow="0" w:firstColumn="0" w:lastColumn="0" w:oddVBand="0" w:evenVBand="0" w:oddHBand="1" w:evenHBand="0" w:firstRowFirstColumn="0" w:firstRowLastColumn="0" w:lastRowFirstColumn="0" w:lastRowLastColumn="0"/>
              <w:rPr>
                <w:rFonts w:ascii="Arial" w:hAnsi="Arial" w:cs="Arial"/>
                <w:b/>
                <w:sz w:val="28"/>
                <w:szCs w:val="28"/>
              </w:rPr>
            </w:pPr>
          </w:p>
        </w:tc>
      </w:tr>
      <w:tr w:rsidR="009920E4" w:rsidRPr="009920E4" w:rsidTr="005952F9">
        <w:trPr>
          <w:cantSplit/>
        </w:trPr>
        <w:tc>
          <w:tcPr>
            <w:cnfStyle w:val="001000000000" w:firstRow="0" w:lastRow="0" w:firstColumn="1" w:lastColumn="0" w:oddVBand="0" w:evenVBand="0" w:oddHBand="0" w:evenHBand="0" w:firstRowFirstColumn="0" w:firstRowLastColumn="0" w:lastRowFirstColumn="0" w:lastRowLastColumn="0"/>
            <w:tcW w:w="2500" w:type="pct"/>
            <w:tcBorders>
              <w:top w:val="nil"/>
              <w:left w:val="nil"/>
              <w:bottom w:val="nil"/>
              <w:right w:val="nil"/>
            </w:tcBorders>
          </w:tcPr>
          <w:p w:rsidR="009920E4" w:rsidRPr="009920E4" w:rsidRDefault="009920E4" w:rsidP="005952F9">
            <w:pPr>
              <w:widowControl/>
              <w:numPr>
                <w:ilvl w:val="0"/>
                <w:numId w:val="34"/>
              </w:numPr>
              <w:spacing w:after="0" w:line="240" w:lineRule="auto"/>
              <w:rPr>
                <w:rFonts w:ascii="Arial" w:hAnsi="Arial" w:cs="Arial"/>
                <w:sz w:val="22"/>
                <w:szCs w:val="22"/>
              </w:rPr>
            </w:pPr>
            <w:r w:rsidRPr="009920E4">
              <w:rPr>
                <w:rFonts w:ascii="Arial" w:hAnsi="Arial" w:cs="Arial"/>
                <w:sz w:val="22"/>
                <w:szCs w:val="22"/>
              </w:rPr>
              <w:t>Economic Security</w:t>
            </w:r>
          </w:p>
          <w:p w:rsidR="009920E4" w:rsidRPr="009920E4" w:rsidRDefault="009920E4" w:rsidP="005952F9">
            <w:pPr>
              <w:widowControl/>
              <w:numPr>
                <w:ilvl w:val="0"/>
                <w:numId w:val="34"/>
              </w:numPr>
              <w:spacing w:after="0" w:line="240" w:lineRule="auto"/>
              <w:rPr>
                <w:rFonts w:ascii="Arial" w:hAnsi="Arial" w:cs="Arial"/>
                <w:sz w:val="22"/>
                <w:szCs w:val="22"/>
              </w:rPr>
            </w:pPr>
            <w:r w:rsidRPr="009920E4">
              <w:rPr>
                <w:rFonts w:ascii="Arial" w:hAnsi="Arial" w:cs="Arial"/>
                <w:sz w:val="22"/>
                <w:szCs w:val="22"/>
              </w:rPr>
              <w:t>Mental Health</w:t>
            </w:r>
          </w:p>
          <w:p w:rsidR="009920E4" w:rsidRPr="009920E4" w:rsidRDefault="009920E4" w:rsidP="005952F9">
            <w:pPr>
              <w:widowControl/>
              <w:numPr>
                <w:ilvl w:val="0"/>
                <w:numId w:val="34"/>
              </w:numPr>
              <w:spacing w:after="0" w:line="240" w:lineRule="auto"/>
              <w:rPr>
                <w:rFonts w:ascii="Arial" w:hAnsi="Arial" w:cs="Arial"/>
                <w:sz w:val="22"/>
                <w:szCs w:val="22"/>
              </w:rPr>
            </w:pPr>
            <w:r w:rsidRPr="009920E4">
              <w:rPr>
                <w:rFonts w:ascii="Arial" w:hAnsi="Arial" w:cs="Arial"/>
                <w:sz w:val="22"/>
                <w:szCs w:val="22"/>
              </w:rPr>
              <w:t>Access to Care</w:t>
            </w:r>
          </w:p>
          <w:p w:rsidR="009920E4" w:rsidRPr="009920E4" w:rsidRDefault="009920E4" w:rsidP="005952F9">
            <w:pPr>
              <w:widowControl/>
              <w:numPr>
                <w:ilvl w:val="0"/>
                <w:numId w:val="34"/>
              </w:numPr>
              <w:spacing w:after="0" w:line="240" w:lineRule="auto"/>
              <w:rPr>
                <w:rFonts w:ascii="Arial" w:hAnsi="Arial" w:cs="Arial"/>
                <w:sz w:val="22"/>
                <w:szCs w:val="22"/>
              </w:rPr>
            </w:pPr>
            <w:r w:rsidRPr="009920E4">
              <w:rPr>
                <w:rFonts w:ascii="Arial" w:hAnsi="Arial" w:cs="Arial"/>
                <w:sz w:val="22"/>
                <w:szCs w:val="22"/>
              </w:rPr>
              <w:t>Violence and Injury Prevention</w:t>
            </w:r>
          </w:p>
          <w:p w:rsidR="009920E4" w:rsidRPr="009920E4" w:rsidRDefault="009920E4" w:rsidP="005952F9">
            <w:pPr>
              <w:widowControl/>
              <w:numPr>
                <w:ilvl w:val="0"/>
                <w:numId w:val="34"/>
              </w:numPr>
              <w:spacing w:after="0" w:line="240" w:lineRule="auto"/>
              <w:rPr>
                <w:rFonts w:ascii="Arial" w:hAnsi="Arial" w:cs="Arial"/>
                <w:sz w:val="22"/>
                <w:szCs w:val="22"/>
              </w:rPr>
            </w:pPr>
            <w:r w:rsidRPr="009920E4">
              <w:rPr>
                <w:rFonts w:ascii="Arial" w:hAnsi="Arial" w:cs="Arial"/>
                <w:sz w:val="22"/>
                <w:szCs w:val="22"/>
              </w:rPr>
              <w:t>Obesity/HEAL/Diabetes</w:t>
            </w:r>
          </w:p>
          <w:p w:rsidR="009920E4" w:rsidRPr="009920E4" w:rsidRDefault="009920E4" w:rsidP="005952F9">
            <w:pPr>
              <w:widowControl/>
              <w:numPr>
                <w:ilvl w:val="0"/>
                <w:numId w:val="34"/>
              </w:numPr>
              <w:spacing w:after="0" w:line="240" w:lineRule="auto"/>
              <w:rPr>
                <w:rFonts w:ascii="Arial" w:hAnsi="Arial" w:cs="Arial"/>
                <w:sz w:val="22"/>
                <w:szCs w:val="22"/>
              </w:rPr>
            </w:pPr>
            <w:r w:rsidRPr="009920E4">
              <w:rPr>
                <w:rFonts w:ascii="Arial" w:hAnsi="Arial" w:cs="Arial"/>
                <w:sz w:val="22"/>
                <w:szCs w:val="22"/>
              </w:rPr>
              <w:t>HIV/AIDS/Sexually Transmitted Infections</w:t>
            </w:r>
          </w:p>
          <w:p w:rsidR="009920E4" w:rsidRPr="009920E4" w:rsidRDefault="009920E4" w:rsidP="005952F9">
            <w:pPr>
              <w:widowControl/>
              <w:numPr>
                <w:ilvl w:val="0"/>
                <w:numId w:val="34"/>
              </w:numPr>
              <w:spacing w:after="0" w:line="240" w:lineRule="auto"/>
              <w:rPr>
                <w:rFonts w:ascii="Arial" w:hAnsi="Arial" w:cs="Arial"/>
                <w:sz w:val="22"/>
                <w:szCs w:val="22"/>
              </w:rPr>
            </w:pPr>
            <w:r w:rsidRPr="009920E4">
              <w:rPr>
                <w:rFonts w:ascii="Arial" w:hAnsi="Arial" w:cs="Arial"/>
                <w:sz w:val="22"/>
                <w:szCs w:val="22"/>
              </w:rPr>
              <w:t>Substance Abuse and Tobacco Use</w:t>
            </w:r>
          </w:p>
          <w:p w:rsidR="009920E4" w:rsidRPr="009920E4" w:rsidRDefault="009920E4" w:rsidP="005952F9">
            <w:pPr>
              <w:widowControl/>
              <w:numPr>
                <w:ilvl w:val="0"/>
                <w:numId w:val="34"/>
              </w:numPr>
              <w:spacing w:after="0" w:line="240" w:lineRule="auto"/>
              <w:rPr>
                <w:rFonts w:ascii="Arial" w:hAnsi="Arial" w:cs="Arial"/>
                <w:sz w:val="22"/>
                <w:szCs w:val="22"/>
              </w:rPr>
            </w:pPr>
            <w:r w:rsidRPr="009920E4">
              <w:rPr>
                <w:rFonts w:ascii="Arial" w:hAnsi="Arial" w:cs="Arial"/>
                <w:sz w:val="22"/>
                <w:szCs w:val="22"/>
              </w:rPr>
              <w:t>Oral Health</w:t>
            </w:r>
          </w:p>
          <w:p w:rsidR="009920E4" w:rsidRPr="009920E4" w:rsidRDefault="009920E4" w:rsidP="005952F9">
            <w:pPr>
              <w:widowControl/>
              <w:numPr>
                <w:ilvl w:val="0"/>
                <w:numId w:val="34"/>
              </w:numPr>
              <w:spacing w:after="0" w:line="240" w:lineRule="auto"/>
              <w:rPr>
                <w:rFonts w:ascii="Arial" w:hAnsi="Arial" w:cs="Arial"/>
                <w:sz w:val="22"/>
                <w:szCs w:val="22"/>
              </w:rPr>
            </w:pPr>
            <w:r w:rsidRPr="009920E4">
              <w:rPr>
                <w:rFonts w:ascii="Arial" w:hAnsi="Arial" w:cs="Arial"/>
                <w:sz w:val="22"/>
                <w:szCs w:val="22"/>
              </w:rPr>
              <w:t>Maternal and Infant Health</w:t>
            </w:r>
          </w:p>
          <w:p w:rsidR="009920E4" w:rsidRPr="009920E4" w:rsidRDefault="009920E4" w:rsidP="005952F9">
            <w:pPr>
              <w:spacing w:after="120"/>
              <w:rPr>
                <w:rFonts w:ascii="Arial" w:hAnsi="Arial" w:cs="Arial"/>
                <w:sz w:val="22"/>
                <w:szCs w:val="22"/>
              </w:rPr>
            </w:pPr>
            <w:r w:rsidRPr="009920E4">
              <w:rPr>
                <w:rFonts w:ascii="Arial" w:hAnsi="Arial" w:cs="Arial"/>
                <w:sz w:val="22"/>
                <w:szCs w:val="22"/>
              </w:rPr>
              <w:t xml:space="preserve">     10.**Asthma</w:t>
            </w:r>
          </w:p>
          <w:p w:rsidR="009920E4" w:rsidRPr="009920E4" w:rsidRDefault="009920E4" w:rsidP="005952F9">
            <w:pPr>
              <w:spacing w:after="120"/>
              <w:rPr>
                <w:rFonts w:ascii="Arial" w:hAnsi="Arial" w:cs="Arial"/>
                <w:sz w:val="22"/>
                <w:szCs w:val="22"/>
              </w:rPr>
            </w:pPr>
            <w:r w:rsidRPr="009920E4">
              <w:rPr>
                <w:rFonts w:ascii="Arial" w:hAnsi="Arial" w:cs="Arial"/>
                <w:sz w:val="22"/>
                <w:szCs w:val="22"/>
              </w:rPr>
              <w:t xml:space="preserve">             Cancers</w:t>
            </w:r>
          </w:p>
          <w:p w:rsidR="009920E4" w:rsidRPr="009920E4" w:rsidRDefault="009920E4" w:rsidP="005952F9">
            <w:pPr>
              <w:spacing w:after="120"/>
              <w:rPr>
                <w:rFonts w:ascii="Arial" w:hAnsi="Arial" w:cs="Arial"/>
                <w:sz w:val="22"/>
                <w:szCs w:val="22"/>
              </w:rPr>
            </w:pPr>
            <w:r w:rsidRPr="009920E4">
              <w:rPr>
                <w:rFonts w:ascii="Arial" w:hAnsi="Arial" w:cs="Arial"/>
                <w:sz w:val="22"/>
                <w:szCs w:val="22"/>
              </w:rPr>
              <w:t xml:space="preserve">             Cardiovascular Disease and Stroke</w:t>
            </w:r>
          </w:p>
          <w:p w:rsidR="009920E4" w:rsidRPr="009920E4" w:rsidRDefault="009920E4" w:rsidP="005952F9">
            <w:pPr>
              <w:spacing w:after="120"/>
              <w:rPr>
                <w:rFonts w:ascii="Arial" w:hAnsi="Arial" w:cs="Arial"/>
                <w:sz w:val="22"/>
                <w:szCs w:val="22"/>
              </w:rPr>
            </w:pPr>
            <w:r w:rsidRPr="009920E4">
              <w:rPr>
                <w:rFonts w:ascii="Arial" w:hAnsi="Arial" w:cs="Arial"/>
                <w:sz w:val="22"/>
                <w:szCs w:val="22"/>
              </w:rPr>
              <w:t xml:space="preserve">             Health and Climate </w:t>
            </w:r>
          </w:p>
        </w:tc>
        <w:tc>
          <w:tcPr>
            <w:tcW w:w="2500" w:type="pct"/>
            <w:tcBorders>
              <w:top w:val="nil"/>
              <w:left w:val="nil"/>
              <w:bottom w:val="nil"/>
              <w:right w:val="nil"/>
            </w:tcBorders>
          </w:tcPr>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920E4">
              <w:rPr>
                <w:rFonts w:ascii="Arial" w:hAnsi="Arial" w:cs="Arial"/>
                <w:sz w:val="22"/>
                <w:szCs w:val="22"/>
              </w:rPr>
              <w:t xml:space="preserve">1.     </w:t>
            </w:r>
            <w:r w:rsidRPr="009920E4">
              <w:rPr>
                <w:rFonts w:ascii="Arial" w:hAnsi="Arial" w:cs="Arial"/>
                <w:b/>
                <w:sz w:val="22"/>
                <w:szCs w:val="22"/>
              </w:rPr>
              <w:t>Economic Security</w:t>
            </w:r>
          </w:p>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920E4">
              <w:rPr>
                <w:rFonts w:ascii="Arial" w:hAnsi="Arial" w:cs="Arial"/>
                <w:sz w:val="22"/>
                <w:szCs w:val="22"/>
              </w:rPr>
              <w:t xml:space="preserve">2.     </w:t>
            </w:r>
            <w:r w:rsidRPr="009920E4">
              <w:rPr>
                <w:rFonts w:ascii="Arial" w:hAnsi="Arial" w:cs="Arial"/>
                <w:b/>
                <w:sz w:val="22"/>
                <w:szCs w:val="22"/>
              </w:rPr>
              <w:t>Mental Health</w:t>
            </w:r>
          </w:p>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920E4">
              <w:rPr>
                <w:rFonts w:ascii="Arial" w:hAnsi="Arial" w:cs="Arial"/>
                <w:sz w:val="22"/>
                <w:szCs w:val="22"/>
              </w:rPr>
              <w:t xml:space="preserve">3.     </w:t>
            </w:r>
            <w:r w:rsidRPr="009920E4">
              <w:rPr>
                <w:rFonts w:ascii="Arial" w:hAnsi="Arial" w:cs="Arial"/>
                <w:b/>
                <w:sz w:val="22"/>
                <w:szCs w:val="22"/>
              </w:rPr>
              <w:t>Access to Care</w:t>
            </w:r>
          </w:p>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920E4">
              <w:rPr>
                <w:rFonts w:ascii="Arial" w:hAnsi="Arial" w:cs="Arial"/>
                <w:sz w:val="22"/>
                <w:szCs w:val="22"/>
              </w:rPr>
              <w:t>4.     Obesity/HEAL/Diabetes</w:t>
            </w:r>
          </w:p>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920E4">
              <w:rPr>
                <w:rFonts w:ascii="Arial" w:hAnsi="Arial" w:cs="Arial"/>
                <w:sz w:val="22"/>
                <w:szCs w:val="22"/>
              </w:rPr>
              <w:t>5.     Substance Abuse and Tobacco Use</w:t>
            </w:r>
          </w:p>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920E4">
              <w:rPr>
                <w:rFonts w:ascii="Arial" w:hAnsi="Arial" w:cs="Arial"/>
                <w:sz w:val="22"/>
                <w:szCs w:val="22"/>
              </w:rPr>
              <w:t>6.    *Health and Climate</w:t>
            </w:r>
          </w:p>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920E4">
              <w:rPr>
                <w:rFonts w:ascii="Arial" w:hAnsi="Arial" w:cs="Arial"/>
                <w:sz w:val="22"/>
                <w:szCs w:val="22"/>
              </w:rPr>
              <w:t xml:space="preserve">        Oral Health</w:t>
            </w:r>
          </w:p>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920E4">
              <w:rPr>
                <w:rFonts w:ascii="Arial" w:hAnsi="Arial" w:cs="Arial"/>
                <w:sz w:val="22"/>
                <w:szCs w:val="22"/>
              </w:rPr>
              <w:t>8.**Cardiovascular Disease and Stroke</w:t>
            </w:r>
          </w:p>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920E4">
              <w:rPr>
                <w:rFonts w:ascii="Arial" w:hAnsi="Arial" w:cs="Arial"/>
                <w:sz w:val="22"/>
                <w:szCs w:val="22"/>
              </w:rPr>
              <w:t xml:space="preserve">        HIV/AIDS/Sexually Transmitted Infections </w:t>
            </w:r>
          </w:p>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920E4">
              <w:rPr>
                <w:rFonts w:ascii="Arial" w:hAnsi="Arial" w:cs="Arial"/>
                <w:sz w:val="22"/>
                <w:szCs w:val="22"/>
              </w:rPr>
              <w:t xml:space="preserve">        Violence and Injury Prevention</w:t>
            </w:r>
          </w:p>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920E4">
              <w:rPr>
                <w:rFonts w:ascii="Arial" w:hAnsi="Arial" w:cs="Arial"/>
                <w:sz w:val="22"/>
                <w:szCs w:val="22"/>
              </w:rPr>
              <w:t xml:space="preserve">        Maternal and Infant Health</w:t>
            </w:r>
          </w:p>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920E4">
              <w:rPr>
                <w:rFonts w:ascii="Arial" w:hAnsi="Arial" w:cs="Arial"/>
                <w:sz w:val="22"/>
                <w:szCs w:val="22"/>
              </w:rPr>
              <w:t>12.*Asthma</w:t>
            </w:r>
          </w:p>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920E4">
              <w:rPr>
                <w:rFonts w:ascii="Arial" w:hAnsi="Arial" w:cs="Arial"/>
                <w:sz w:val="22"/>
                <w:szCs w:val="22"/>
              </w:rPr>
              <w:t xml:space="preserve">      Cancer</w:t>
            </w:r>
          </w:p>
          <w:p w:rsidR="009920E4" w:rsidRPr="009920E4" w:rsidRDefault="009920E4" w:rsidP="005952F9">
            <w:pPr>
              <w:spacing w:after="120"/>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9920E4" w:rsidRPr="009920E4" w:rsidTr="005952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left w:val="nil"/>
              <w:bottom w:val="nil"/>
              <w:right w:val="nil"/>
            </w:tcBorders>
          </w:tcPr>
          <w:p w:rsidR="009920E4" w:rsidRPr="009920E4" w:rsidRDefault="009920E4" w:rsidP="00F84B15">
            <w:pPr>
              <w:spacing w:after="120"/>
              <w:rPr>
                <w:rFonts w:ascii="Arial" w:hAnsi="Arial" w:cs="Arial"/>
                <w:sz w:val="18"/>
                <w:szCs w:val="18"/>
              </w:rPr>
            </w:pPr>
            <w:r w:rsidRPr="009920E4">
              <w:rPr>
                <w:rFonts w:ascii="Arial" w:hAnsi="Arial" w:cs="Arial"/>
                <w:sz w:val="18"/>
                <w:szCs w:val="18"/>
              </w:rPr>
              <w:t>*Two-way tie; **Four-way tie</w:t>
            </w:r>
          </w:p>
          <w:p w:rsidR="009920E4" w:rsidRPr="009920E4" w:rsidRDefault="009920E4" w:rsidP="00F84B15">
            <w:pPr>
              <w:spacing w:after="120"/>
              <w:rPr>
                <w:rFonts w:ascii="Arial" w:hAnsi="Arial" w:cs="Arial"/>
                <w:sz w:val="18"/>
                <w:szCs w:val="18"/>
              </w:rPr>
            </w:pPr>
            <w:r w:rsidRPr="009920E4">
              <w:rPr>
                <w:rFonts w:ascii="Arial" w:hAnsi="Arial" w:cs="Arial"/>
                <w:sz w:val="18"/>
                <w:szCs w:val="18"/>
              </w:rPr>
              <w:t>Health needs in bold are ranked similarly for both KFH Fontana/Ontario MCSAs</w:t>
            </w:r>
          </w:p>
        </w:tc>
      </w:tr>
    </w:tbl>
    <w:p w:rsidR="009920E4" w:rsidRDefault="009920E4" w:rsidP="00F84B15">
      <w:pPr>
        <w:spacing w:after="120" w:line="240" w:lineRule="auto"/>
        <w:rPr>
          <w:rFonts w:ascii="Arial" w:eastAsia="Arial" w:hAnsi="Arial" w:cs="Arial"/>
          <w:color w:val="000000"/>
          <w:sz w:val="22"/>
          <w:szCs w:val="24"/>
        </w:rPr>
      </w:pPr>
    </w:p>
    <w:p w:rsidR="00F03B4A" w:rsidRDefault="00F03B4A" w:rsidP="00F84B15">
      <w:pPr>
        <w:spacing w:after="120" w:line="240" w:lineRule="auto"/>
        <w:rPr>
          <w:rFonts w:ascii="Arial" w:eastAsia="Arial" w:hAnsi="Arial" w:cs="Arial"/>
          <w:color w:val="000000"/>
          <w:sz w:val="22"/>
          <w:szCs w:val="24"/>
        </w:rPr>
      </w:pPr>
    </w:p>
    <w:p w:rsidR="00F03B4A" w:rsidRDefault="00F03B4A" w:rsidP="00F84B15">
      <w:pPr>
        <w:spacing w:after="120" w:line="240" w:lineRule="auto"/>
        <w:rPr>
          <w:rFonts w:ascii="Arial" w:eastAsia="Arial" w:hAnsi="Arial" w:cs="Arial"/>
          <w:color w:val="000000"/>
          <w:sz w:val="22"/>
          <w:szCs w:val="24"/>
        </w:rPr>
      </w:pPr>
    </w:p>
    <w:p w:rsidR="00F03B4A" w:rsidRDefault="00F03B4A" w:rsidP="00F84B15">
      <w:pPr>
        <w:spacing w:after="120" w:line="240" w:lineRule="auto"/>
        <w:rPr>
          <w:rFonts w:ascii="Arial" w:eastAsia="Arial" w:hAnsi="Arial" w:cs="Arial"/>
          <w:color w:val="000000"/>
          <w:sz w:val="22"/>
          <w:szCs w:val="24"/>
        </w:rPr>
      </w:pPr>
    </w:p>
    <w:p w:rsidR="00F03B4A" w:rsidRDefault="00F03B4A" w:rsidP="00F84B15">
      <w:pPr>
        <w:spacing w:after="120" w:line="240" w:lineRule="auto"/>
        <w:rPr>
          <w:rFonts w:ascii="Arial" w:eastAsia="Arial" w:hAnsi="Arial" w:cs="Arial"/>
          <w:color w:val="000000"/>
          <w:sz w:val="22"/>
          <w:szCs w:val="24"/>
        </w:rPr>
      </w:pPr>
    </w:p>
    <w:p w:rsidR="00D44882" w:rsidRDefault="00D44882" w:rsidP="00F84B15">
      <w:pPr>
        <w:spacing w:after="120" w:line="240" w:lineRule="auto"/>
        <w:rPr>
          <w:rFonts w:ascii="Arial" w:eastAsia="Arial" w:hAnsi="Arial" w:cs="Arial"/>
          <w:color w:val="000000"/>
          <w:sz w:val="22"/>
          <w:szCs w:val="24"/>
        </w:rPr>
      </w:pPr>
    </w:p>
    <w:p w:rsidR="00D44882" w:rsidRDefault="00D44882" w:rsidP="00F84B15">
      <w:pPr>
        <w:spacing w:after="120" w:line="240" w:lineRule="auto"/>
        <w:rPr>
          <w:rFonts w:ascii="Arial" w:eastAsia="Arial" w:hAnsi="Arial" w:cs="Arial"/>
          <w:color w:val="000000"/>
          <w:sz w:val="22"/>
          <w:szCs w:val="24"/>
        </w:rPr>
      </w:pPr>
    </w:p>
    <w:p w:rsidR="00D44882" w:rsidRPr="009920E4" w:rsidRDefault="00D44882" w:rsidP="00F84B15">
      <w:pPr>
        <w:spacing w:after="120" w:line="240" w:lineRule="auto"/>
        <w:rPr>
          <w:rFonts w:ascii="Arial" w:eastAsia="Arial" w:hAnsi="Arial" w:cs="Arial"/>
          <w:color w:val="000000"/>
          <w:sz w:val="22"/>
          <w:szCs w:val="24"/>
        </w:rPr>
      </w:pPr>
    </w:p>
    <w:p w:rsidR="009920E4" w:rsidRPr="009920E4" w:rsidRDefault="009920E4" w:rsidP="00F84B15">
      <w:pPr>
        <w:numPr>
          <w:ilvl w:val="0"/>
          <w:numId w:val="33"/>
        </w:numPr>
        <w:spacing w:after="120" w:line="240" w:lineRule="auto"/>
        <w:outlineLvl w:val="1"/>
        <w:rPr>
          <w:rFonts w:ascii="Arial" w:eastAsia="Arial" w:hAnsi="Arial" w:cs="Arial"/>
          <w:color w:val="006D9D"/>
          <w:sz w:val="32"/>
          <w:szCs w:val="32"/>
        </w:rPr>
      </w:pPr>
      <w:bookmarkStart w:id="5" w:name="h.l8itdhqngoex" w:colFirst="0" w:colLast="0"/>
      <w:bookmarkStart w:id="6" w:name="_Toc452498389"/>
      <w:bookmarkEnd w:id="5"/>
      <w:r w:rsidRPr="009920E4">
        <w:rPr>
          <w:rFonts w:ascii="Arial" w:eastAsia="Arial" w:hAnsi="Arial" w:cs="Arial"/>
          <w:color w:val="006D9D"/>
          <w:sz w:val="32"/>
          <w:szCs w:val="32"/>
        </w:rPr>
        <w:t>Summary of Needs Assessment Methodology and Process</w:t>
      </w:r>
      <w:bookmarkEnd w:id="6"/>
    </w:p>
    <w:p w:rsidR="005952F9" w:rsidRDefault="009920E4" w:rsidP="005952F9">
      <w:pPr>
        <w:spacing w:after="0" w:line="240" w:lineRule="auto"/>
        <w:rPr>
          <w:rFonts w:ascii="Arial" w:eastAsia="Arial" w:hAnsi="Arial" w:cs="Arial"/>
          <w:color w:val="000000"/>
          <w:sz w:val="22"/>
          <w:szCs w:val="22"/>
        </w:rPr>
      </w:pPr>
      <w:r w:rsidRPr="009920E4">
        <w:rPr>
          <w:rFonts w:ascii="Arial" w:eastAsia="Arial" w:hAnsi="Arial" w:cs="Arial"/>
          <w:color w:val="000000"/>
          <w:sz w:val="22"/>
          <w:szCs w:val="22"/>
        </w:rPr>
        <w:t xml:space="preserve">Health needs for KFH- Fontana/Ontario were identified using a mixed methods approach that involved a combination of secondary (quantitative) and primary (qualitative) data. Secondary data was gathered from the Kaiser Permanente CHNA Data Platform (www.chna.org/kp), which includes 150 indicators from publically available data sources. Data in the platform is organized based on the Mobilizing Action Toward Community Health (MATCH) framework, a population health model that emphasizes that many factors that, if improved, can help make communities healthier places to live, learn, work and play. These factors include the mortality and morbidity status of the community, and the four key sets of drivers that impact that status: access to health care, behaviors, socio-economic factors, and the physical environment.  </w:t>
      </w:r>
    </w:p>
    <w:p w:rsidR="005952F9" w:rsidRPr="009920E4" w:rsidRDefault="005952F9" w:rsidP="005952F9">
      <w:pPr>
        <w:spacing w:after="0" w:line="240" w:lineRule="auto"/>
        <w:rPr>
          <w:rFonts w:ascii="Arial" w:eastAsia="Arial" w:hAnsi="Arial" w:cs="Arial"/>
          <w:color w:val="000000"/>
          <w:sz w:val="22"/>
          <w:szCs w:val="22"/>
        </w:rPr>
      </w:pPr>
    </w:p>
    <w:p w:rsidR="005952F9" w:rsidRDefault="009920E4" w:rsidP="005952F9">
      <w:pPr>
        <w:spacing w:after="0" w:line="240" w:lineRule="auto"/>
        <w:rPr>
          <w:rFonts w:ascii="Arial" w:eastAsia="Arial" w:hAnsi="Arial" w:cs="Arial"/>
          <w:color w:val="000000"/>
          <w:sz w:val="22"/>
          <w:szCs w:val="22"/>
        </w:rPr>
      </w:pPr>
      <w:r w:rsidRPr="009920E4">
        <w:rPr>
          <w:rFonts w:ascii="Arial" w:eastAsia="Arial" w:hAnsi="Arial" w:cs="Arial"/>
          <w:color w:val="000000"/>
          <w:sz w:val="22"/>
          <w:szCs w:val="22"/>
        </w:rPr>
        <w:t>Quantitative data was analyzed using Kaiser Permanente’s Community Benefit data analysis tool. This tool organizes the 150 KP common indicators for California by health need labels and demographics to distinguish the health need topics the secondary data set is exploring. For example, indicators related to depression, suicide rates, and poor mental health describe the health need, Mental Health. Each health need topic was assigned a score based on the relative variance of the data values at the KFH-Fontana/Ontario Medical Center Service Areas compared to three benchmarks: the county, state, and Southern California Medical Center Area (S CA MCA) and averaged to create a composite score. The KFH-Fontana/Ontario Medical Center Service Areas estimates represent the aggregate of all data for geographies that fall within the service area boundary (e.g. zip code, census tract, etc.) for a particular indicator. Higher scores indicate greater deviation from the benchmark, while lower scores indicate that an indicator is doing better than or is comparable to the benchmark.</w:t>
      </w:r>
    </w:p>
    <w:p w:rsidR="005952F9" w:rsidRPr="009920E4" w:rsidRDefault="005952F9" w:rsidP="005952F9">
      <w:pPr>
        <w:spacing w:after="0" w:line="240" w:lineRule="auto"/>
        <w:rPr>
          <w:rFonts w:ascii="Arial" w:eastAsia="Arial" w:hAnsi="Arial" w:cs="Arial"/>
          <w:color w:val="000000"/>
          <w:sz w:val="22"/>
          <w:szCs w:val="22"/>
        </w:rPr>
      </w:pPr>
    </w:p>
    <w:p w:rsidR="005952F9" w:rsidRDefault="009920E4" w:rsidP="005952F9">
      <w:pPr>
        <w:spacing w:after="0" w:line="240" w:lineRule="auto"/>
        <w:rPr>
          <w:rFonts w:ascii="Arial" w:eastAsia="Arial" w:hAnsi="Arial" w:cs="Arial"/>
          <w:color w:val="000000"/>
          <w:sz w:val="22"/>
          <w:szCs w:val="22"/>
        </w:rPr>
      </w:pPr>
      <w:r w:rsidRPr="009920E4">
        <w:rPr>
          <w:rFonts w:ascii="Arial" w:eastAsia="Arial" w:hAnsi="Arial" w:cs="Arial"/>
          <w:color w:val="000000"/>
          <w:sz w:val="22"/>
          <w:szCs w:val="22"/>
        </w:rPr>
        <w:t xml:space="preserve">Qualitative data was collected through a series of focus groups and key stakeholder interviews. A total of 10 key informant interviews were conducted between September and November 2015 and a total of four focus groups were facilitated. The significant health needs were identified by comparing quantitative data for the medical center service areas with S CA MCA and state benchmarks and analyzing the content of interviews and focus groups. </w:t>
      </w:r>
    </w:p>
    <w:p w:rsidR="005952F9" w:rsidRPr="009920E4" w:rsidRDefault="005952F9" w:rsidP="005952F9">
      <w:pPr>
        <w:spacing w:after="0" w:line="240" w:lineRule="auto"/>
        <w:rPr>
          <w:rFonts w:ascii="Arial" w:eastAsia="Arial" w:hAnsi="Arial" w:cs="Arial"/>
          <w:color w:val="000000"/>
          <w:sz w:val="22"/>
          <w:szCs w:val="22"/>
        </w:rPr>
      </w:pPr>
    </w:p>
    <w:p w:rsidR="009920E4" w:rsidRDefault="009920E4" w:rsidP="005952F9">
      <w:pPr>
        <w:spacing w:after="0" w:line="240" w:lineRule="auto"/>
        <w:rPr>
          <w:rFonts w:ascii="Arial" w:eastAsia="Arial" w:hAnsi="Arial" w:cs="Arial"/>
          <w:color w:val="000000"/>
          <w:sz w:val="22"/>
          <w:szCs w:val="22"/>
        </w:rPr>
      </w:pPr>
      <w:r w:rsidRPr="009920E4">
        <w:rPr>
          <w:rFonts w:ascii="Arial" w:eastAsia="Arial" w:hAnsi="Arial" w:cs="Arial"/>
          <w:color w:val="000000"/>
          <w:sz w:val="22"/>
          <w:szCs w:val="22"/>
        </w:rPr>
        <w:t xml:space="preserve">The significant health needs identified from analysis of secondary and primary data (as described above) were prioritized using a combination of the Simplex and Nominal Group methods. The Simplex method is a quantitative technique for collecting input from stakeholders through a survey with close-ended questions. The Nominal Group method is a qualitative approach that is used to enhance stakeholders understanding of health needs through reflection and facilitated discussion. Four criteria were used to prioritize the health needs: (1) Severity, which is the extent to which the health need has serious consequences related to morbidity, mortality, and/or economic burden; (2) Community Concern, which is the extent that the community perceives the health need as important; (3) Urgency, which is the extent to which </w:t>
      </w:r>
      <w:r w:rsidRPr="009920E4">
        <w:rPr>
          <w:rFonts w:ascii="Arial" w:eastAsia="Calibri" w:hAnsi="Arial" w:cs="Arial"/>
          <w:color w:val="000000"/>
          <w:kern w:val="24"/>
          <w:sz w:val="22"/>
          <w:szCs w:val="22"/>
        </w:rPr>
        <w:t>there are serious consequences of delaying action</w:t>
      </w:r>
      <w:r w:rsidRPr="009920E4">
        <w:rPr>
          <w:rFonts w:ascii="Arial" w:eastAsia="Arial" w:hAnsi="Arial" w:cs="Arial"/>
          <w:color w:val="000000"/>
          <w:sz w:val="22"/>
          <w:szCs w:val="22"/>
        </w:rPr>
        <w:t>; and (4) Disparities, which is the level at which the health need disproportionately impacts specific subpopulations. The results from the Nominal Group method were used to create the finalized list of health priorities as displayed above. Assets, capacities, and resources to address the health needs were also identified during prioritization.</w:t>
      </w:r>
    </w:p>
    <w:p w:rsidR="005952F9" w:rsidRPr="009920E4" w:rsidRDefault="005952F9" w:rsidP="005952F9">
      <w:pPr>
        <w:spacing w:after="0" w:line="240" w:lineRule="auto"/>
        <w:rPr>
          <w:rFonts w:ascii="Arial" w:eastAsia="Arial" w:hAnsi="Arial" w:cs="Arial"/>
          <w:color w:val="000000"/>
          <w:sz w:val="22"/>
          <w:szCs w:val="22"/>
        </w:rPr>
      </w:pPr>
    </w:p>
    <w:p w:rsidR="009920E4" w:rsidRDefault="009920E4" w:rsidP="005952F9">
      <w:pPr>
        <w:spacing w:after="0" w:line="240" w:lineRule="auto"/>
        <w:rPr>
          <w:rFonts w:ascii="Arial" w:eastAsia="Arial" w:hAnsi="Arial" w:cs="Arial"/>
          <w:color w:val="000000"/>
          <w:sz w:val="22"/>
          <w:szCs w:val="22"/>
        </w:rPr>
      </w:pPr>
      <w:r w:rsidRPr="009920E4">
        <w:rPr>
          <w:rFonts w:ascii="Arial" w:eastAsia="Arial" w:hAnsi="Arial" w:cs="Arial"/>
          <w:color w:val="000000"/>
          <w:sz w:val="22"/>
          <w:szCs w:val="22"/>
        </w:rPr>
        <w:t>While the communities served by the KFH-Fontana/Ontario MCSA have diverse needs, their top three health needs identified through prioritization were shared: Economic Security, Mental Health and Access to Care, suggesting that opportunities exist to deploy similar strategies across the two medical center service areas.</w:t>
      </w:r>
    </w:p>
    <w:p w:rsidR="005952F9" w:rsidRDefault="005952F9" w:rsidP="005952F9">
      <w:pPr>
        <w:spacing w:after="0" w:line="240" w:lineRule="auto"/>
        <w:rPr>
          <w:rFonts w:ascii="Arial" w:eastAsia="Arial" w:hAnsi="Arial" w:cs="Arial"/>
          <w:color w:val="000000"/>
          <w:sz w:val="22"/>
          <w:szCs w:val="22"/>
        </w:rPr>
      </w:pPr>
    </w:p>
    <w:p w:rsidR="00D44882" w:rsidRPr="009920E4" w:rsidRDefault="00D44882" w:rsidP="005952F9">
      <w:pPr>
        <w:spacing w:after="0" w:line="240" w:lineRule="auto"/>
        <w:rPr>
          <w:rFonts w:ascii="Arial" w:eastAsia="Arial" w:hAnsi="Arial" w:cs="Arial"/>
          <w:color w:val="000000"/>
          <w:sz w:val="22"/>
          <w:szCs w:val="22"/>
        </w:rPr>
      </w:pPr>
    </w:p>
    <w:p w:rsidR="009920E4" w:rsidRPr="009920E4" w:rsidRDefault="009920E4" w:rsidP="00F84B15">
      <w:pPr>
        <w:numPr>
          <w:ilvl w:val="0"/>
          <w:numId w:val="33"/>
        </w:numPr>
        <w:spacing w:after="120" w:line="240" w:lineRule="auto"/>
        <w:outlineLvl w:val="1"/>
        <w:rPr>
          <w:rFonts w:ascii="Arial" w:eastAsia="Arial" w:hAnsi="Arial" w:cs="Arial"/>
          <w:color w:val="006D9D"/>
          <w:sz w:val="32"/>
          <w:szCs w:val="32"/>
        </w:rPr>
      </w:pPr>
      <w:bookmarkStart w:id="7" w:name="_Toc452498390"/>
      <w:r w:rsidRPr="009920E4">
        <w:rPr>
          <w:rFonts w:ascii="Arial" w:eastAsia="Arial" w:hAnsi="Arial" w:cs="Arial"/>
          <w:color w:val="006D9D"/>
          <w:sz w:val="32"/>
          <w:szCs w:val="32"/>
        </w:rPr>
        <w:t>Implementation Strategy Evaluation of Impact</w:t>
      </w:r>
      <w:bookmarkEnd w:id="7"/>
    </w:p>
    <w:p w:rsidR="009920E4" w:rsidRPr="009920E4" w:rsidRDefault="009920E4" w:rsidP="00F84B15">
      <w:pPr>
        <w:spacing w:after="120" w:line="240" w:lineRule="auto"/>
        <w:rPr>
          <w:rFonts w:ascii="Arial" w:eastAsia="Arial" w:hAnsi="Arial" w:cs="Arial"/>
          <w:color w:val="000000"/>
          <w:sz w:val="22"/>
          <w:szCs w:val="22"/>
        </w:rPr>
      </w:pPr>
      <w:r w:rsidRPr="009920E4">
        <w:rPr>
          <w:rFonts w:ascii="Arial" w:eastAsia="Arial" w:hAnsi="Arial" w:cs="Arial"/>
          <w:color w:val="000000"/>
          <w:sz w:val="22"/>
          <w:szCs w:val="22"/>
        </w:rPr>
        <w:t>In the 2013 Implementation Strategy (IS) process, all KFH planned for and drew on a broad array of resources and strategies to improve the health of communities and vulnerable populations, such as grant making, in-kind resources, collaborations and partnerships, as well as several internal KFH programs including, charitable health coverage programs, future health professional training programs, and research. KFH-Fontana/Ontario is monitoring and evaluating progress to date on their 2013 Implementation Strategies for the purpose of tracking the implementation of those strategies as well as to document the impact of those strategies in addressing selected CHNA health needs. Tracking metrics for each prioritized health need include the number of grants made, the number of dollars spent, the number of people reached/served, collaborations and partnerships, and KFH in-kind resources. In addition, KFH-Fontana/Ontario tracks outcomes, including behavior and health outcomes, as appropriate and where available. As of the documentation of this CHNA Report in March 2016, KFH-Fontana/Ontario had evaluation of impact information on activities from 2014 and 2015. While not reflected in this report, KFH-Fontana/Ontario will continue to monitor impact for strategies implemented in 2016.</w:t>
      </w:r>
    </w:p>
    <w:p w:rsidR="003D3661" w:rsidRDefault="003D3661" w:rsidP="00B26DA4">
      <w:pPr>
        <w:ind w:right="-3600"/>
      </w:pPr>
    </w:p>
    <w:p w:rsidR="009920E4" w:rsidRPr="00D44882" w:rsidRDefault="009920E4" w:rsidP="007948A4">
      <w:pPr>
        <w:spacing w:before="240" w:line="240" w:lineRule="auto"/>
        <w:ind w:left="-17"/>
        <w:outlineLvl w:val="0"/>
        <w:rPr>
          <w:rFonts w:ascii="Arial" w:eastAsia="Arial" w:hAnsi="Arial" w:cs="Arial"/>
          <w:b/>
          <w:color w:val="0070C0"/>
          <w:sz w:val="32"/>
          <w:szCs w:val="32"/>
        </w:rPr>
      </w:pPr>
      <w:r w:rsidRPr="00D44882">
        <w:rPr>
          <w:rFonts w:ascii="Arial" w:eastAsia="Arial" w:hAnsi="Arial" w:cs="Arial"/>
          <w:b/>
          <w:color w:val="0070C0"/>
          <w:sz w:val="32"/>
          <w:szCs w:val="32"/>
        </w:rPr>
        <w:t xml:space="preserve">II. </w:t>
      </w:r>
      <w:r w:rsidR="007948A4" w:rsidRPr="00D44882">
        <w:rPr>
          <w:rFonts w:ascii="Arial" w:eastAsia="Arial" w:hAnsi="Arial" w:cs="Arial"/>
          <w:b/>
          <w:color w:val="0070C0"/>
          <w:sz w:val="32"/>
          <w:szCs w:val="32"/>
        </w:rPr>
        <w:t xml:space="preserve">Kaiser Foundation Hospitals </w:t>
      </w:r>
      <w:r w:rsidRPr="00D44882">
        <w:rPr>
          <w:rFonts w:ascii="Arial" w:eastAsia="Arial" w:hAnsi="Arial" w:cs="Arial"/>
          <w:b/>
          <w:color w:val="0070C0"/>
          <w:sz w:val="32"/>
          <w:szCs w:val="32"/>
        </w:rPr>
        <w:t xml:space="preserve">Selected </w:t>
      </w:r>
      <w:r w:rsidR="007948A4" w:rsidRPr="00D44882">
        <w:rPr>
          <w:rFonts w:ascii="Arial" w:eastAsia="Arial" w:hAnsi="Arial" w:cs="Arial"/>
          <w:b/>
          <w:color w:val="0070C0"/>
          <w:sz w:val="32"/>
          <w:szCs w:val="32"/>
        </w:rPr>
        <w:t xml:space="preserve">Community Priority </w:t>
      </w:r>
      <w:r w:rsidRPr="00D44882">
        <w:rPr>
          <w:rFonts w:ascii="Arial" w:eastAsia="Arial" w:hAnsi="Arial" w:cs="Arial"/>
          <w:b/>
          <w:color w:val="0070C0"/>
          <w:sz w:val="32"/>
          <w:szCs w:val="32"/>
        </w:rPr>
        <w:t>Health Needs</w:t>
      </w:r>
      <w:r w:rsidR="007948A4" w:rsidRPr="00D44882">
        <w:rPr>
          <w:rFonts w:ascii="Arial" w:eastAsia="Arial" w:hAnsi="Arial" w:cs="Arial"/>
          <w:b/>
          <w:color w:val="0070C0"/>
          <w:sz w:val="32"/>
          <w:szCs w:val="32"/>
        </w:rPr>
        <w:t xml:space="preserve"> 2017-2019</w:t>
      </w:r>
    </w:p>
    <w:p w:rsidR="0055305F" w:rsidRPr="007948A4" w:rsidRDefault="0055305F" w:rsidP="00F84B15">
      <w:pPr>
        <w:widowControl/>
        <w:spacing w:after="0" w:line="240" w:lineRule="auto"/>
        <w:rPr>
          <w:rFonts w:ascii="Arial" w:eastAsia="Arial" w:hAnsi="Arial" w:cs="Arial"/>
          <w:sz w:val="22"/>
          <w:szCs w:val="22"/>
        </w:rPr>
      </w:pPr>
      <w:r w:rsidRPr="007948A4">
        <w:rPr>
          <w:rFonts w:ascii="Arial" w:eastAsia="Arial" w:hAnsi="Arial" w:cs="Arial"/>
          <w:sz w:val="22"/>
          <w:szCs w:val="22"/>
        </w:rPr>
        <w:t>In order to address the overall health of the community in the KFH-Fontana</w:t>
      </w:r>
      <w:r w:rsidR="003302C9" w:rsidRPr="007948A4">
        <w:rPr>
          <w:rFonts w:ascii="Arial" w:eastAsia="Arial" w:hAnsi="Arial" w:cs="Arial"/>
          <w:sz w:val="22"/>
          <w:szCs w:val="22"/>
        </w:rPr>
        <w:t xml:space="preserve"> and Ontario</w:t>
      </w:r>
      <w:r w:rsidRPr="007948A4">
        <w:rPr>
          <w:rFonts w:ascii="Arial" w:eastAsia="Arial" w:hAnsi="Arial" w:cs="Arial"/>
          <w:sz w:val="22"/>
          <w:szCs w:val="22"/>
        </w:rPr>
        <w:t xml:space="preserve"> service area</w:t>
      </w:r>
      <w:r w:rsidR="003302C9" w:rsidRPr="007948A4">
        <w:rPr>
          <w:rFonts w:ascii="Arial" w:eastAsia="Arial" w:hAnsi="Arial" w:cs="Arial"/>
          <w:sz w:val="22"/>
          <w:szCs w:val="22"/>
        </w:rPr>
        <w:t>s</w:t>
      </w:r>
      <w:r w:rsidRPr="007948A4">
        <w:rPr>
          <w:rFonts w:ascii="Arial" w:eastAsia="Arial" w:hAnsi="Arial" w:cs="Arial"/>
          <w:sz w:val="22"/>
          <w:szCs w:val="22"/>
        </w:rPr>
        <w:t>, KFH-Fontana</w:t>
      </w:r>
      <w:r w:rsidR="003302C9" w:rsidRPr="007948A4">
        <w:rPr>
          <w:rFonts w:ascii="Arial" w:eastAsia="Arial" w:hAnsi="Arial" w:cs="Arial"/>
          <w:sz w:val="22"/>
          <w:szCs w:val="22"/>
        </w:rPr>
        <w:t xml:space="preserve"> and KFH-Ontario plan</w:t>
      </w:r>
      <w:r w:rsidRPr="007948A4">
        <w:rPr>
          <w:rFonts w:ascii="Arial" w:eastAsia="Arial" w:hAnsi="Arial" w:cs="Arial"/>
          <w:sz w:val="22"/>
          <w:szCs w:val="22"/>
        </w:rPr>
        <w:t xml:space="preserve"> to address the following health needs (listed in alphabetical order):</w:t>
      </w:r>
    </w:p>
    <w:p w:rsidR="0055305F" w:rsidRPr="007948A4" w:rsidRDefault="0055305F" w:rsidP="00F84B15">
      <w:pPr>
        <w:widowControl/>
        <w:spacing w:after="0" w:line="240" w:lineRule="auto"/>
        <w:rPr>
          <w:rFonts w:ascii="Arial" w:eastAsia="Arial" w:hAnsi="Arial" w:cs="Arial"/>
          <w:sz w:val="22"/>
          <w:szCs w:val="22"/>
        </w:rPr>
      </w:pPr>
    </w:p>
    <w:p w:rsidR="0055305F" w:rsidRDefault="0055305F" w:rsidP="007948A4">
      <w:pPr>
        <w:widowControl/>
        <w:numPr>
          <w:ilvl w:val="0"/>
          <w:numId w:val="44"/>
        </w:numPr>
        <w:spacing w:after="0" w:line="240" w:lineRule="auto"/>
        <w:rPr>
          <w:rFonts w:ascii="Arial" w:eastAsia="Arial" w:hAnsi="Arial" w:cs="Arial"/>
          <w:sz w:val="22"/>
          <w:szCs w:val="22"/>
        </w:rPr>
      </w:pPr>
      <w:r w:rsidRPr="007948A4">
        <w:rPr>
          <w:rFonts w:ascii="Arial" w:eastAsia="Arial" w:hAnsi="Arial" w:cs="Arial"/>
          <w:b/>
          <w:sz w:val="22"/>
          <w:szCs w:val="22"/>
        </w:rPr>
        <w:t>Mental and Behavioral Health</w:t>
      </w:r>
      <w:r w:rsidRPr="007948A4">
        <w:rPr>
          <w:rFonts w:ascii="Arial" w:eastAsia="Arial" w:hAnsi="Arial" w:cs="Arial"/>
          <w:sz w:val="22"/>
          <w:szCs w:val="22"/>
        </w:rPr>
        <w:t xml:space="preserve">: is essential to personal well-being and includes access to affordable and appropriate treatment and care for a range of disorders, such as depression, schizophrenia, and substance abuse, all of which contribute to disability and premature mortality.  </w:t>
      </w:r>
    </w:p>
    <w:p w:rsidR="00F03B4A" w:rsidRPr="007948A4" w:rsidRDefault="00F03B4A" w:rsidP="00F03B4A">
      <w:pPr>
        <w:widowControl/>
        <w:numPr>
          <w:ilvl w:val="0"/>
          <w:numId w:val="44"/>
        </w:numPr>
        <w:spacing w:after="0" w:line="240" w:lineRule="auto"/>
        <w:rPr>
          <w:rFonts w:ascii="Arial" w:eastAsia="Arial" w:hAnsi="Arial" w:cs="Arial"/>
          <w:sz w:val="22"/>
          <w:szCs w:val="22"/>
        </w:rPr>
      </w:pPr>
      <w:r w:rsidRPr="007948A4">
        <w:rPr>
          <w:rFonts w:ascii="Arial" w:eastAsia="Arial" w:hAnsi="Arial" w:cs="Arial"/>
          <w:b/>
          <w:sz w:val="22"/>
          <w:szCs w:val="22"/>
        </w:rPr>
        <w:t>Economic Security</w:t>
      </w:r>
      <w:r w:rsidRPr="007948A4">
        <w:rPr>
          <w:rFonts w:ascii="Arial" w:eastAsia="Arial" w:hAnsi="Arial" w:cs="Arial"/>
          <w:sz w:val="22"/>
          <w:szCs w:val="22"/>
        </w:rPr>
        <w:t xml:space="preserve">: poverty is a primary social determinant of health.  Indicators of poverty include lack of education, unemployment, low income, housing instability, and use of public programs.  Economic instability creates barriers to access health services, healthy food, safe spaces for physical activities, and other necessities that contribute to good health status.  </w:t>
      </w:r>
    </w:p>
    <w:p w:rsidR="00F03B4A" w:rsidRPr="00F03B4A" w:rsidRDefault="00F03B4A" w:rsidP="00F03B4A">
      <w:pPr>
        <w:widowControl/>
        <w:numPr>
          <w:ilvl w:val="0"/>
          <w:numId w:val="44"/>
        </w:numPr>
        <w:spacing w:after="0" w:line="240" w:lineRule="auto"/>
        <w:rPr>
          <w:rFonts w:ascii="Arial" w:eastAsia="Arial" w:hAnsi="Arial" w:cs="Arial"/>
          <w:sz w:val="22"/>
          <w:szCs w:val="22"/>
        </w:rPr>
      </w:pPr>
      <w:r w:rsidRPr="007948A4">
        <w:rPr>
          <w:rFonts w:ascii="Arial" w:eastAsia="Arial" w:hAnsi="Arial" w:cs="Arial"/>
          <w:b/>
          <w:sz w:val="22"/>
          <w:szCs w:val="22"/>
        </w:rPr>
        <w:t>Access to Care</w:t>
      </w:r>
      <w:r w:rsidRPr="007948A4">
        <w:rPr>
          <w:rFonts w:ascii="Arial" w:eastAsia="Arial" w:hAnsi="Arial" w:cs="Arial"/>
          <w:sz w:val="22"/>
          <w:szCs w:val="22"/>
        </w:rPr>
        <w:t xml:space="preserve">: includes access to affordable health insurance as well as affordable primary, specialty and emergency care in relatively close proximity to patients. </w:t>
      </w:r>
    </w:p>
    <w:p w:rsidR="00C34B66" w:rsidRDefault="0055305F" w:rsidP="00D44882">
      <w:pPr>
        <w:widowControl/>
        <w:numPr>
          <w:ilvl w:val="0"/>
          <w:numId w:val="44"/>
        </w:numPr>
        <w:spacing w:after="0" w:line="240" w:lineRule="auto"/>
        <w:rPr>
          <w:rFonts w:ascii="Calibri" w:eastAsia="Arial" w:hAnsi="Calibri" w:cs="Calibri"/>
          <w:sz w:val="22"/>
          <w:szCs w:val="22"/>
        </w:rPr>
      </w:pPr>
      <w:r w:rsidRPr="007948A4">
        <w:rPr>
          <w:rFonts w:ascii="Arial" w:eastAsia="Arial" w:hAnsi="Arial" w:cs="Arial"/>
          <w:b/>
          <w:sz w:val="22"/>
          <w:szCs w:val="22"/>
        </w:rPr>
        <w:t>Obesity/HEAL/Diabetes</w:t>
      </w:r>
      <w:r w:rsidRPr="007948A4">
        <w:rPr>
          <w:rFonts w:ascii="Arial" w:eastAsia="Arial" w:hAnsi="Arial" w:cs="Arial"/>
          <w:sz w:val="22"/>
          <w:szCs w:val="22"/>
        </w:rPr>
        <w:t>: includes chronic conditions such as overweight, obesity, and diabetes, as well as healthy eating/active living strategies that encompass a broad set of behaviors, including physical activity and f</w:t>
      </w:r>
      <w:r w:rsidR="00D44882">
        <w:rPr>
          <w:rFonts w:ascii="Arial" w:eastAsia="Arial" w:hAnsi="Arial" w:cs="Arial"/>
          <w:sz w:val="22"/>
          <w:szCs w:val="22"/>
        </w:rPr>
        <w:t>ruit and vegetable consumption.</w:t>
      </w:r>
      <w:r w:rsidR="00D44882" w:rsidRPr="0055305F">
        <w:rPr>
          <w:rFonts w:ascii="Calibri" w:eastAsia="Arial" w:hAnsi="Calibri" w:cs="Calibri"/>
          <w:sz w:val="22"/>
          <w:szCs w:val="22"/>
        </w:rPr>
        <w:t xml:space="preserve"> </w:t>
      </w:r>
    </w:p>
    <w:p w:rsidR="00D44882" w:rsidRDefault="00D44882" w:rsidP="00D44882">
      <w:pPr>
        <w:widowControl/>
        <w:spacing w:after="0" w:line="240" w:lineRule="auto"/>
        <w:rPr>
          <w:rFonts w:ascii="Calibri" w:eastAsia="Arial" w:hAnsi="Calibri" w:cs="Calibri"/>
          <w:sz w:val="22"/>
          <w:szCs w:val="22"/>
        </w:rPr>
      </w:pPr>
    </w:p>
    <w:p w:rsidR="00D44882" w:rsidRDefault="00D44882" w:rsidP="00D44882">
      <w:pPr>
        <w:widowControl/>
        <w:spacing w:after="0" w:line="240" w:lineRule="auto"/>
        <w:rPr>
          <w:rFonts w:ascii="Calibri" w:eastAsia="Arial" w:hAnsi="Calibri" w:cs="Calibri"/>
          <w:sz w:val="22"/>
          <w:szCs w:val="22"/>
        </w:rPr>
      </w:pPr>
    </w:p>
    <w:p w:rsidR="00D44882" w:rsidRDefault="00D44882" w:rsidP="00D44882">
      <w:pPr>
        <w:widowControl/>
        <w:spacing w:after="0" w:line="240" w:lineRule="auto"/>
        <w:rPr>
          <w:rFonts w:ascii="Calibri" w:eastAsia="Arial" w:hAnsi="Calibri" w:cs="Calibri"/>
          <w:sz w:val="22"/>
          <w:szCs w:val="22"/>
        </w:rPr>
      </w:pPr>
    </w:p>
    <w:p w:rsidR="00D44882" w:rsidRPr="0055305F" w:rsidRDefault="00D44882" w:rsidP="00D44882">
      <w:pPr>
        <w:widowControl/>
        <w:spacing w:after="0" w:line="240" w:lineRule="auto"/>
        <w:rPr>
          <w:rFonts w:ascii="Calibri" w:eastAsia="Arial" w:hAnsi="Calibri" w:cs="Calibri"/>
          <w:sz w:val="22"/>
          <w:szCs w:val="22"/>
        </w:rPr>
      </w:pPr>
      <w:r w:rsidRPr="00D44882">
        <w:rPr>
          <w:rFonts w:ascii="Arial" w:eastAsia="Arial" w:hAnsi="Arial" w:cs="Arial"/>
          <w:b/>
          <w:color w:val="0070C0"/>
          <w:sz w:val="32"/>
          <w:szCs w:val="32"/>
        </w:rPr>
        <w:t>III. Health Need Profiles for Selected Priority Needs</w:t>
      </w:r>
    </w:p>
    <w:tbl>
      <w:tblPr>
        <w:tblpPr w:leftFromText="180" w:rightFromText="180" w:vertAnchor="text" w:horzAnchor="margin" w:tblpY="-2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137"/>
        <w:gridCol w:w="4322"/>
        <w:gridCol w:w="4595"/>
        <w:gridCol w:w="26"/>
      </w:tblGrid>
      <w:tr w:rsidR="00B26DA4" w:rsidRPr="00B26DA4" w:rsidTr="00C542D4">
        <w:trPr>
          <w:trHeight w:val="443"/>
        </w:trPr>
        <w:tc>
          <w:tcPr>
            <w:tcW w:w="5000" w:type="pct"/>
            <w:gridSpan w:val="4"/>
            <w:tcBorders>
              <w:top w:val="nil"/>
              <w:left w:val="nil"/>
              <w:bottom w:val="nil"/>
              <w:right w:val="nil"/>
            </w:tcBorders>
            <w:tcMar>
              <w:top w:w="100" w:type="dxa"/>
              <w:left w:w="100" w:type="dxa"/>
              <w:bottom w:w="100" w:type="dxa"/>
              <w:right w:w="100" w:type="dxa"/>
            </w:tcMar>
          </w:tcPr>
          <w:p w:rsidR="00B26DA4" w:rsidRPr="00B26DA4" w:rsidRDefault="00B26DA4" w:rsidP="008940C2">
            <w:pPr>
              <w:spacing w:after="0" w:line="240" w:lineRule="auto"/>
              <w:jc w:val="center"/>
              <w:outlineLvl w:val="1"/>
              <w:rPr>
                <w:rFonts w:ascii="Arial" w:eastAsia="Arial" w:hAnsi="Arial" w:cs="Arial"/>
                <w:color w:val="1F497D"/>
                <w:sz w:val="32"/>
                <w:szCs w:val="32"/>
              </w:rPr>
            </w:pPr>
            <w:bookmarkStart w:id="8" w:name="_Toc452498438"/>
            <w:r w:rsidRPr="00B26DA4">
              <w:rPr>
                <w:rFonts w:ascii="Arial" w:eastAsia="Arial" w:hAnsi="Arial" w:cs="Arial"/>
                <w:b/>
                <w:color w:val="1F497D"/>
                <w:sz w:val="32"/>
                <w:szCs w:val="32"/>
              </w:rPr>
              <w:t>Access to Care</w:t>
            </w:r>
            <w:bookmarkEnd w:id="8"/>
          </w:p>
          <w:p w:rsidR="00B26DA4" w:rsidRPr="00B26DA4" w:rsidRDefault="00B26DA4" w:rsidP="008940C2">
            <w:pPr>
              <w:widowControl/>
              <w:spacing w:after="0" w:line="240" w:lineRule="auto"/>
              <w:rPr>
                <w:rFonts w:ascii="Arial" w:eastAsia="Arial" w:hAnsi="Arial" w:cs="Arial"/>
                <w:color w:val="FF0000"/>
                <w:sz w:val="22"/>
                <w:szCs w:val="22"/>
              </w:rPr>
            </w:pPr>
            <w:r w:rsidRPr="00B26DA4">
              <w:rPr>
                <w:rFonts w:ascii="Arial" w:eastAsia="Calibri" w:hAnsi="Arial" w:cs="Arial"/>
                <w:b/>
                <w:sz w:val="22"/>
                <w:szCs w:val="22"/>
              </w:rPr>
              <w:t>Description and Significance:</w:t>
            </w:r>
            <w:r w:rsidRPr="00B26DA4">
              <w:rPr>
                <w:rFonts w:ascii="Arial" w:eastAsia="Calibri" w:hAnsi="Arial" w:cs="Arial"/>
                <w:sz w:val="22"/>
                <w:szCs w:val="22"/>
              </w:rPr>
              <w:t xml:space="preserve"> </w:t>
            </w:r>
            <w:r w:rsidRPr="00B26DA4">
              <w:rPr>
                <w:rFonts w:ascii="Arial" w:eastAsia="Arial" w:hAnsi="Arial" w:cs="Arial"/>
                <w:color w:val="000000"/>
                <w:sz w:val="22"/>
                <w:szCs w:val="22"/>
              </w:rPr>
              <w:t xml:space="preserve">Health insurance helps individuals and families access needed primary care, specialists, and emergency care, but does not ensure access on its own—it is also necessary for providers to offer affordable care, be available to treat patients, and be in relatively close proximity to patients. In 2014, approximately 11.5% of Americans were uninsured; and the rate of uninsured 18-64 year olds was higher at 16.3% (National Center for Health Statistics). In California in 2013, 54.2% of physicians accepted new Medi-Cal patients, which is lower than the national average (68.9%; National Center for Health Statistics Data Brief). Access to comprehensive, quality health care services is important for the achievement of health equity and for increasing the quality of a healthy life for everyone. Limited access to health care impacts people's ability to reach their full potential, negatively affecting their quality of life (Healthy People 2020). Insurance and access to providers ensures that diseases are identified and managed earlier. If diseases are left untreated or unmanaged because of delayed care (cost, access to providers), this could lead to higher rates of hospitalizations and mortality. Residents of the KFH-Fontana/Ontario Medical Center Service Areas (MCSA) lack access to primary care physicians, dentists and mental health care providers relative to the rest of the state. </w:t>
            </w:r>
          </w:p>
        </w:tc>
      </w:tr>
      <w:tr w:rsidR="00B26DA4" w:rsidRPr="00B26DA4" w:rsidTr="00C542D4">
        <w:trPr>
          <w:trHeight w:val="403"/>
        </w:trPr>
        <w:tc>
          <w:tcPr>
            <w:tcW w:w="5000" w:type="pct"/>
            <w:gridSpan w:val="4"/>
            <w:tcBorders>
              <w:top w:val="nil"/>
              <w:left w:val="nil"/>
              <w:bottom w:val="nil"/>
              <w:right w:val="nil"/>
            </w:tcBorders>
            <w:shd w:val="clear" w:color="auto" w:fill="006D9D"/>
            <w:tcMar>
              <w:top w:w="57" w:type="dxa"/>
              <w:left w:w="57" w:type="dxa"/>
              <w:bottom w:w="57" w:type="dxa"/>
              <w:right w:w="57" w:type="dxa"/>
            </w:tcMar>
          </w:tcPr>
          <w:p w:rsidR="00B26DA4" w:rsidRPr="00B26DA4" w:rsidRDefault="00B26DA4" w:rsidP="008940C2">
            <w:pPr>
              <w:spacing w:after="0" w:line="240" w:lineRule="auto"/>
              <w:rPr>
                <w:rFonts w:ascii="Arial" w:eastAsia="Arial" w:hAnsi="Arial" w:cs="Arial"/>
                <w:color w:val="000000"/>
                <w:sz w:val="22"/>
                <w:szCs w:val="22"/>
              </w:rPr>
            </w:pPr>
            <w:r w:rsidRPr="00B26DA4">
              <w:rPr>
                <w:rFonts w:ascii="Arial" w:eastAsia="Arial" w:hAnsi="Arial" w:cs="Arial"/>
                <w:b/>
                <w:color w:val="FFFFFF"/>
                <w:sz w:val="32"/>
                <w:szCs w:val="32"/>
              </w:rPr>
              <w:t>Health Driver Statistics</w:t>
            </w:r>
          </w:p>
        </w:tc>
      </w:tr>
      <w:tr w:rsidR="00B26DA4" w:rsidRPr="00B26DA4" w:rsidTr="00C542D4">
        <w:trPr>
          <w:trHeight w:val="770"/>
        </w:trPr>
        <w:tc>
          <w:tcPr>
            <w:tcW w:w="516" w:type="pct"/>
            <w:tcBorders>
              <w:top w:val="nil"/>
              <w:left w:val="nil"/>
              <w:bottom w:val="nil"/>
              <w:right w:val="nil"/>
            </w:tcBorders>
          </w:tcPr>
          <w:p w:rsidR="00B26DA4" w:rsidRPr="00B26DA4" w:rsidRDefault="00B26DA4" w:rsidP="008940C2">
            <w:pPr>
              <w:spacing w:after="0" w:line="240" w:lineRule="auto"/>
              <w:rPr>
                <w:rFonts w:ascii="Arial" w:eastAsia="Arial" w:hAnsi="Arial" w:cs="Arial"/>
                <w:color w:val="000000"/>
                <w:sz w:val="22"/>
                <w:szCs w:val="22"/>
              </w:rPr>
            </w:pPr>
            <w:r w:rsidRPr="00B26DA4">
              <w:rPr>
                <w:rFonts w:ascii="Arial" w:eastAsia="Arial" w:hAnsi="Arial" w:cs="Arial"/>
                <w:noProof/>
                <w:color w:val="000000"/>
                <w:sz w:val="22"/>
                <w:szCs w:val="22"/>
              </w:rPr>
              <w:drawing>
                <wp:anchor distT="0" distB="0" distL="114300" distR="114300" simplePos="0" relativeHeight="251662336" behindDoc="0" locked="0" layoutInCell="1" allowOverlap="1" wp14:anchorId="1374B694" wp14:editId="7F8D1604">
                  <wp:simplePos x="0" y="0"/>
                  <wp:positionH relativeFrom="column">
                    <wp:posOffset>7620</wp:posOffset>
                  </wp:positionH>
                  <wp:positionV relativeFrom="paragraph">
                    <wp:posOffset>-3810</wp:posOffset>
                  </wp:positionV>
                  <wp:extent cx="542925" cy="427355"/>
                  <wp:effectExtent l="0" t="0" r="9525" b="0"/>
                  <wp:wrapNone/>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42925" cy="427355"/>
                          </a:xfrm>
                          <a:prstGeom prst="rect">
                            <a:avLst/>
                          </a:prstGeom>
                          <a:ln/>
                        </pic:spPr>
                      </pic:pic>
                    </a:graphicData>
                  </a:graphic>
                  <wp14:sizeRelH relativeFrom="page">
                    <wp14:pctWidth>0</wp14:pctWidth>
                  </wp14:sizeRelH>
                  <wp14:sizeRelV relativeFrom="page">
                    <wp14:pctHeight>0</wp14:pctHeight>
                  </wp14:sizeRelV>
                </wp:anchor>
              </w:drawing>
            </w:r>
          </w:p>
        </w:tc>
        <w:tc>
          <w:tcPr>
            <w:tcW w:w="2156" w:type="pct"/>
            <w:tcBorders>
              <w:top w:val="nil"/>
              <w:left w:val="nil"/>
              <w:bottom w:val="nil"/>
              <w:right w:val="nil"/>
            </w:tcBorders>
          </w:tcPr>
          <w:p w:rsidR="00B26DA4" w:rsidRPr="00B26DA4" w:rsidRDefault="00B26DA4" w:rsidP="008940C2">
            <w:pPr>
              <w:spacing w:after="0" w:line="240" w:lineRule="auto"/>
              <w:jc w:val="center"/>
              <w:rPr>
                <w:rFonts w:ascii="Arial" w:eastAsia="Arial" w:hAnsi="Arial" w:cs="Arial"/>
                <w:b/>
                <w:color w:val="000000"/>
                <w:sz w:val="22"/>
                <w:szCs w:val="22"/>
              </w:rPr>
            </w:pPr>
          </w:p>
          <w:p w:rsidR="00B26DA4" w:rsidRPr="00B26DA4" w:rsidRDefault="00B26DA4" w:rsidP="008940C2">
            <w:pPr>
              <w:spacing w:after="0" w:line="240" w:lineRule="auto"/>
              <w:jc w:val="center"/>
              <w:rPr>
                <w:rFonts w:ascii="Arial" w:eastAsia="Arial" w:hAnsi="Arial" w:cs="Arial"/>
                <w:b/>
                <w:color w:val="000000"/>
                <w:sz w:val="22"/>
                <w:szCs w:val="22"/>
              </w:rPr>
            </w:pPr>
            <w:r w:rsidRPr="00B26DA4">
              <w:rPr>
                <w:rFonts w:ascii="Arial" w:eastAsia="Arial" w:hAnsi="Arial" w:cs="Arial"/>
                <w:b/>
                <w:color w:val="000000"/>
                <w:sz w:val="22"/>
                <w:szCs w:val="22"/>
              </w:rPr>
              <w:t xml:space="preserve">Access to Primary Care Physicians </w:t>
            </w:r>
            <w:r w:rsidRPr="00B26DA4">
              <w:rPr>
                <w:rFonts w:ascii="Arial" w:eastAsia="Arial" w:hAnsi="Arial" w:cs="Arial"/>
                <w:b/>
                <w:color w:val="000000"/>
                <w:sz w:val="18"/>
                <w:szCs w:val="18"/>
              </w:rPr>
              <w:t>(Per 100,000 Population)</w:t>
            </w:r>
          </w:p>
        </w:tc>
        <w:tc>
          <w:tcPr>
            <w:tcW w:w="2328" w:type="pct"/>
            <w:gridSpan w:val="2"/>
            <w:vMerge w:val="restart"/>
            <w:tcBorders>
              <w:top w:val="nil"/>
              <w:left w:val="nil"/>
              <w:bottom w:val="nil"/>
              <w:right w:val="nil"/>
            </w:tcBorders>
          </w:tcPr>
          <w:p w:rsidR="00B26DA4" w:rsidRPr="00B26DA4" w:rsidRDefault="00B26DA4" w:rsidP="008940C2">
            <w:pPr>
              <w:spacing w:after="0" w:line="240" w:lineRule="auto"/>
              <w:jc w:val="center"/>
              <w:rPr>
                <w:rFonts w:ascii="Arial" w:eastAsia="Arial" w:hAnsi="Arial" w:cs="Arial"/>
                <w:b/>
                <w:color w:val="000000"/>
                <w:sz w:val="22"/>
                <w:szCs w:val="22"/>
              </w:rPr>
            </w:pPr>
            <w:r w:rsidRPr="00B26DA4">
              <w:rPr>
                <w:rFonts w:ascii="Arial" w:eastAsia="Arial" w:hAnsi="Arial" w:cs="Arial"/>
                <w:b/>
                <w:color w:val="000000"/>
                <w:sz w:val="22"/>
                <w:szCs w:val="22"/>
              </w:rPr>
              <w:t xml:space="preserve">Access to Dentists </w:t>
            </w:r>
          </w:p>
          <w:p w:rsidR="00B26DA4" w:rsidRPr="00B26DA4" w:rsidRDefault="00B26DA4" w:rsidP="008940C2">
            <w:pPr>
              <w:spacing w:after="0" w:line="240" w:lineRule="auto"/>
              <w:jc w:val="center"/>
              <w:rPr>
                <w:rFonts w:ascii="Arial" w:eastAsia="Arial" w:hAnsi="Arial" w:cs="Arial"/>
                <w:b/>
                <w:color w:val="000000"/>
                <w:sz w:val="18"/>
                <w:szCs w:val="18"/>
              </w:rPr>
            </w:pPr>
            <w:r w:rsidRPr="00B26DA4">
              <w:rPr>
                <w:rFonts w:ascii="Arial" w:eastAsia="Arial" w:hAnsi="Arial" w:cs="Arial"/>
                <w:b/>
                <w:color w:val="000000"/>
                <w:sz w:val="18"/>
                <w:szCs w:val="18"/>
              </w:rPr>
              <w:t>(Per 100,000 Population)</w:t>
            </w:r>
          </w:p>
          <w:p w:rsidR="00B26DA4" w:rsidRPr="00B26DA4" w:rsidRDefault="00B26DA4" w:rsidP="008940C2">
            <w:pPr>
              <w:spacing w:after="0" w:line="240" w:lineRule="auto"/>
              <w:jc w:val="center"/>
              <w:rPr>
                <w:rFonts w:ascii="Arial" w:eastAsia="Open Sans" w:hAnsi="Arial" w:cs="Arial"/>
                <w:i/>
                <w:iCs/>
                <w:color w:val="555555"/>
                <w:sz w:val="18"/>
                <w:szCs w:val="18"/>
              </w:rPr>
            </w:pPr>
            <w:r w:rsidRPr="00B26DA4">
              <w:rPr>
                <w:rFonts w:ascii="Arial" w:eastAsia="Arial" w:hAnsi="Arial" w:cs="Arial"/>
                <w:noProof/>
                <w:color w:val="000000"/>
                <w:sz w:val="22"/>
                <w:szCs w:val="22"/>
              </w:rPr>
              <w:drawing>
                <wp:inline distT="0" distB="0" distL="0" distR="0" wp14:anchorId="629297E1" wp14:editId="2CD97951">
                  <wp:extent cx="2726303" cy="1512736"/>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26DA4" w:rsidRPr="00B26DA4" w:rsidRDefault="00B26DA4" w:rsidP="008940C2">
            <w:pPr>
              <w:spacing w:after="0" w:line="240" w:lineRule="auto"/>
              <w:rPr>
                <w:rFonts w:ascii="Arial" w:eastAsia="Arial" w:hAnsi="Arial" w:cs="Arial"/>
                <w:b/>
                <w:i/>
                <w:iCs/>
                <w:color w:val="000000"/>
                <w:sz w:val="20"/>
                <w:szCs w:val="20"/>
              </w:rPr>
            </w:pPr>
            <w:r w:rsidRPr="00B26DA4">
              <w:rPr>
                <w:rFonts w:ascii="Arial" w:eastAsia="Arial" w:hAnsi="Arial" w:cs="Arial"/>
                <w:color w:val="000000"/>
                <w:sz w:val="20"/>
                <w:szCs w:val="20"/>
              </w:rPr>
              <w:t xml:space="preserve">When compared with the rate of dentist for the S CA MCA and the state, residents of the KFH-Fontana/Ontario Medical Center Service Areas are less likely to have access to a dentist. </w:t>
            </w:r>
          </w:p>
          <w:p w:rsidR="00B26DA4" w:rsidRPr="00B26DA4" w:rsidRDefault="00B26DA4" w:rsidP="008940C2">
            <w:pPr>
              <w:spacing w:after="0" w:line="240" w:lineRule="auto"/>
              <w:jc w:val="center"/>
              <w:rPr>
                <w:rFonts w:ascii="Arial" w:eastAsia="Open Sans" w:hAnsi="Arial" w:cs="Arial"/>
                <w:i/>
                <w:iCs/>
                <w:color w:val="555555"/>
                <w:sz w:val="18"/>
                <w:szCs w:val="18"/>
              </w:rPr>
            </w:pPr>
          </w:p>
          <w:p w:rsidR="00B26DA4" w:rsidRPr="00B26DA4" w:rsidRDefault="00B26DA4" w:rsidP="008940C2">
            <w:pPr>
              <w:spacing w:after="0" w:line="240" w:lineRule="auto"/>
              <w:rPr>
                <w:rFonts w:ascii="Arial" w:eastAsia="Open Sans" w:hAnsi="Arial" w:cs="Arial"/>
                <w:i/>
                <w:iCs/>
                <w:color w:val="555555"/>
                <w:sz w:val="18"/>
                <w:szCs w:val="18"/>
              </w:rPr>
            </w:pPr>
            <w:r w:rsidRPr="00B26DA4">
              <w:rPr>
                <w:rFonts w:ascii="Arial" w:eastAsia="Open Sans" w:hAnsi="Arial" w:cs="Arial"/>
                <w:i/>
                <w:iCs/>
                <w:color w:val="555555"/>
                <w:sz w:val="18"/>
                <w:szCs w:val="18"/>
              </w:rPr>
              <w:t>Source: US Department of Health &amp; Human Services, Health Resources and Services Administration, Area Health Resource File. 2013.</w:t>
            </w:r>
          </w:p>
        </w:tc>
      </w:tr>
      <w:tr w:rsidR="00B26DA4" w:rsidRPr="00B26DA4" w:rsidTr="00C542D4">
        <w:trPr>
          <w:trHeight w:val="3589"/>
        </w:trPr>
        <w:tc>
          <w:tcPr>
            <w:tcW w:w="2672" w:type="pct"/>
            <w:gridSpan w:val="2"/>
            <w:tcBorders>
              <w:top w:val="nil"/>
              <w:left w:val="nil"/>
              <w:bottom w:val="nil"/>
              <w:right w:val="nil"/>
            </w:tcBorders>
          </w:tcPr>
          <w:p w:rsidR="00B26DA4" w:rsidRPr="00B26DA4" w:rsidRDefault="00B26DA4" w:rsidP="008940C2">
            <w:pPr>
              <w:spacing w:after="0" w:line="240" w:lineRule="auto"/>
              <w:rPr>
                <w:rFonts w:ascii="Arial" w:eastAsia="Arial" w:hAnsi="Arial" w:cs="Arial"/>
                <w:color w:val="000000"/>
                <w:sz w:val="22"/>
                <w:szCs w:val="22"/>
              </w:rPr>
            </w:pPr>
            <w:r w:rsidRPr="00B26DA4">
              <w:rPr>
                <w:rFonts w:ascii="Arial" w:eastAsia="Arial" w:hAnsi="Arial" w:cs="Arial"/>
                <w:noProof/>
                <w:color w:val="000000"/>
                <w:sz w:val="22"/>
                <w:szCs w:val="22"/>
              </w:rPr>
              <w:drawing>
                <wp:inline distT="0" distB="0" distL="0" distR="0" wp14:anchorId="76B09679" wp14:editId="6F899E22">
                  <wp:extent cx="3248025" cy="14382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6DA4" w:rsidRPr="00B26DA4" w:rsidRDefault="00B26DA4" w:rsidP="008940C2">
            <w:pPr>
              <w:spacing w:after="0" w:line="240" w:lineRule="auto"/>
              <w:rPr>
                <w:rFonts w:ascii="Arial" w:eastAsia="Arial" w:hAnsi="Arial" w:cs="Arial"/>
                <w:color w:val="000000"/>
                <w:sz w:val="20"/>
                <w:szCs w:val="20"/>
              </w:rPr>
            </w:pPr>
            <w:r w:rsidRPr="00B26DA4">
              <w:rPr>
                <w:rFonts w:ascii="Arial" w:eastAsia="Arial" w:hAnsi="Arial" w:cs="Arial"/>
                <w:color w:val="000000"/>
                <w:sz w:val="20"/>
                <w:szCs w:val="20"/>
              </w:rPr>
              <w:t>Residents in the KFH-Fontana/Ontario Medical Center Service Area are less likely to have access to a primary care physician relative to the S CA MCA and the state.</w:t>
            </w:r>
          </w:p>
          <w:p w:rsidR="00B26DA4" w:rsidRPr="00B26DA4" w:rsidRDefault="00B26DA4" w:rsidP="008940C2">
            <w:pPr>
              <w:spacing w:after="0" w:line="240" w:lineRule="auto"/>
              <w:rPr>
                <w:rFonts w:ascii="Arial" w:eastAsia="Open Sans" w:hAnsi="Arial" w:cs="Arial"/>
                <w:i/>
                <w:iCs/>
                <w:color w:val="555555"/>
                <w:sz w:val="18"/>
                <w:szCs w:val="18"/>
              </w:rPr>
            </w:pPr>
          </w:p>
          <w:p w:rsidR="00B26DA4" w:rsidRPr="00B26DA4" w:rsidRDefault="00B26DA4" w:rsidP="008940C2">
            <w:pPr>
              <w:spacing w:after="0" w:line="240" w:lineRule="auto"/>
              <w:rPr>
                <w:rFonts w:ascii="Arial" w:eastAsia="Arial" w:hAnsi="Arial" w:cs="Arial"/>
                <w:b/>
                <w:color w:val="000000"/>
                <w:sz w:val="22"/>
                <w:szCs w:val="22"/>
              </w:rPr>
            </w:pPr>
            <w:r w:rsidRPr="00B26DA4">
              <w:rPr>
                <w:rFonts w:ascii="Arial" w:eastAsia="Open Sans" w:hAnsi="Arial" w:cs="Arial"/>
                <w:i/>
                <w:iCs/>
                <w:color w:val="555555"/>
                <w:sz w:val="18"/>
                <w:szCs w:val="18"/>
              </w:rPr>
              <w:t>Source: US Department of Health &amp; Human Services, Health Resources and Services Administration, Area Health Resource File. 2012.</w:t>
            </w:r>
          </w:p>
        </w:tc>
        <w:tc>
          <w:tcPr>
            <w:tcW w:w="2328" w:type="pct"/>
            <w:gridSpan w:val="2"/>
            <w:vMerge/>
            <w:tcBorders>
              <w:top w:val="nil"/>
              <w:left w:val="nil"/>
              <w:bottom w:val="nil"/>
              <w:right w:val="nil"/>
            </w:tcBorders>
          </w:tcPr>
          <w:p w:rsidR="00B26DA4" w:rsidRPr="00B26DA4" w:rsidRDefault="00B26DA4" w:rsidP="008940C2">
            <w:pPr>
              <w:spacing w:after="0" w:line="240" w:lineRule="auto"/>
              <w:rPr>
                <w:rFonts w:ascii="Arial" w:eastAsia="Arial" w:hAnsi="Arial" w:cs="Arial"/>
                <w:color w:val="000000"/>
                <w:sz w:val="22"/>
                <w:szCs w:val="22"/>
              </w:rPr>
            </w:pPr>
          </w:p>
        </w:tc>
      </w:tr>
      <w:tr w:rsidR="00B26DA4" w:rsidRPr="00B26DA4" w:rsidTr="00C542D4">
        <w:trPr>
          <w:trHeight w:val="3888"/>
        </w:trPr>
        <w:tc>
          <w:tcPr>
            <w:tcW w:w="2672" w:type="pct"/>
            <w:gridSpan w:val="2"/>
            <w:tcBorders>
              <w:top w:val="nil"/>
              <w:left w:val="nil"/>
              <w:bottom w:val="nil"/>
              <w:right w:val="nil"/>
            </w:tcBorders>
          </w:tcPr>
          <w:p w:rsidR="00B26DA4" w:rsidRPr="00B26DA4" w:rsidRDefault="00B26DA4" w:rsidP="008940C2">
            <w:pPr>
              <w:spacing w:after="0" w:line="240" w:lineRule="auto"/>
              <w:jc w:val="center"/>
              <w:rPr>
                <w:rFonts w:ascii="Arial" w:eastAsia="Arial" w:hAnsi="Arial" w:cs="Arial"/>
                <w:color w:val="000000"/>
                <w:sz w:val="22"/>
                <w:szCs w:val="22"/>
              </w:rPr>
            </w:pPr>
            <w:r w:rsidRPr="00B26DA4">
              <w:rPr>
                <w:rFonts w:ascii="Arial" w:eastAsia="Arial" w:hAnsi="Arial" w:cs="Arial"/>
                <w:b/>
                <w:color w:val="000000"/>
                <w:sz w:val="22"/>
                <w:szCs w:val="22"/>
              </w:rPr>
              <w:t>Uninsured Population</w:t>
            </w:r>
          </w:p>
          <w:p w:rsidR="00B26DA4" w:rsidRPr="00B26DA4" w:rsidRDefault="00B26DA4" w:rsidP="008940C2">
            <w:pPr>
              <w:spacing w:after="0" w:line="240" w:lineRule="auto"/>
              <w:jc w:val="center"/>
              <w:rPr>
                <w:rFonts w:ascii="Arial" w:eastAsia="Arial" w:hAnsi="Arial" w:cs="Arial"/>
                <w:color w:val="000000"/>
                <w:sz w:val="22"/>
                <w:szCs w:val="22"/>
              </w:rPr>
            </w:pPr>
            <w:r w:rsidRPr="00B26DA4">
              <w:rPr>
                <w:rFonts w:ascii="Arial" w:eastAsia="Arial" w:hAnsi="Arial" w:cs="Arial"/>
                <w:noProof/>
                <w:color w:val="000000"/>
                <w:sz w:val="22"/>
                <w:szCs w:val="22"/>
              </w:rPr>
              <w:drawing>
                <wp:inline distT="0" distB="0" distL="0" distR="0" wp14:anchorId="5E4040A5" wp14:editId="61FCF57F">
                  <wp:extent cx="2849549" cy="1447137"/>
                  <wp:effectExtent l="0" t="0" r="8255" b="12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6DA4" w:rsidRPr="00B26DA4" w:rsidRDefault="00B26DA4" w:rsidP="008940C2">
            <w:pPr>
              <w:spacing w:after="0" w:line="240" w:lineRule="auto"/>
              <w:rPr>
                <w:rFonts w:ascii="Arial" w:eastAsia="Arial" w:hAnsi="Arial" w:cs="Arial"/>
                <w:color w:val="000000"/>
                <w:sz w:val="20"/>
                <w:szCs w:val="20"/>
              </w:rPr>
            </w:pPr>
            <w:r w:rsidRPr="00B26DA4">
              <w:rPr>
                <w:rFonts w:ascii="Arial" w:eastAsia="Arial" w:hAnsi="Arial" w:cs="Arial"/>
                <w:color w:val="000000"/>
                <w:sz w:val="20"/>
                <w:szCs w:val="20"/>
              </w:rPr>
              <w:t xml:space="preserve">A larger percent of residents in the KFH-Fontana/Ontario Medical Center Service Areas are uninsured relative to the state. </w:t>
            </w:r>
          </w:p>
          <w:p w:rsidR="00B26DA4" w:rsidRPr="00B26DA4" w:rsidRDefault="00B26DA4" w:rsidP="008940C2">
            <w:pPr>
              <w:spacing w:after="0" w:line="240" w:lineRule="auto"/>
              <w:rPr>
                <w:rFonts w:ascii="Arial" w:eastAsia="Open Sans" w:hAnsi="Arial" w:cs="Arial"/>
                <w:b/>
                <w:i/>
                <w:iCs/>
                <w:color w:val="555555"/>
                <w:sz w:val="18"/>
                <w:szCs w:val="18"/>
                <w:lang w:val="en"/>
              </w:rPr>
            </w:pPr>
          </w:p>
          <w:p w:rsidR="00B26DA4" w:rsidRPr="00B26DA4" w:rsidRDefault="00B26DA4" w:rsidP="008940C2">
            <w:pPr>
              <w:spacing w:after="0" w:line="240" w:lineRule="auto"/>
              <w:rPr>
                <w:rFonts w:ascii="Arial" w:eastAsia="Arial" w:hAnsi="Arial" w:cs="Arial"/>
                <w:b/>
                <w:color w:val="000000"/>
                <w:sz w:val="22"/>
                <w:szCs w:val="24"/>
              </w:rPr>
            </w:pPr>
            <w:r w:rsidRPr="00B26DA4">
              <w:rPr>
                <w:rFonts w:ascii="Arial" w:eastAsia="Open Sans" w:hAnsi="Arial" w:cs="Arial"/>
                <w:i/>
                <w:iCs/>
                <w:color w:val="555555"/>
                <w:sz w:val="18"/>
                <w:szCs w:val="18"/>
              </w:rPr>
              <w:t xml:space="preserve">Source: US Census Bureau, American Community Survey. 2010-14. </w:t>
            </w:r>
          </w:p>
        </w:tc>
        <w:tc>
          <w:tcPr>
            <w:tcW w:w="2328" w:type="pct"/>
            <w:gridSpan w:val="2"/>
            <w:tcBorders>
              <w:top w:val="nil"/>
              <w:left w:val="nil"/>
              <w:bottom w:val="nil"/>
              <w:right w:val="nil"/>
            </w:tcBorders>
          </w:tcPr>
          <w:p w:rsidR="00B26DA4" w:rsidRPr="00B26DA4" w:rsidRDefault="00B26DA4" w:rsidP="008940C2">
            <w:pPr>
              <w:spacing w:after="0" w:line="240" w:lineRule="auto"/>
              <w:jc w:val="center"/>
              <w:rPr>
                <w:rFonts w:ascii="Arial" w:eastAsia="Arial" w:hAnsi="Arial" w:cs="Arial"/>
                <w:b/>
                <w:color w:val="000000"/>
                <w:sz w:val="22"/>
                <w:szCs w:val="22"/>
              </w:rPr>
            </w:pPr>
            <w:r w:rsidRPr="00B26DA4">
              <w:rPr>
                <w:rFonts w:ascii="Arial" w:eastAsia="Arial" w:hAnsi="Arial" w:cs="Arial"/>
                <w:b/>
                <w:color w:val="000000"/>
                <w:sz w:val="22"/>
                <w:szCs w:val="22"/>
              </w:rPr>
              <w:t>Access to Mental Health Providers</w:t>
            </w:r>
          </w:p>
          <w:p w:rsidR="00B26DA4" w:rsidRPr="00B26DA4" w:rsidRDefault="00B26DA4" w:rsidP="008940C2">
            <w:pPr>
              <w:spacing w:after="0" w:line="240" w:lineRule="auto"/>
              <w:jc w:val="center"/>
              <w:rPr>
                <w:rFonts w:ascii="Arial" w:eastAsia="Arial" w:hAnsi="Arial" w:cs="Arial"/>
                <w:b/>
                <w:color w:val="000000"/>
                <w:sz w:val="18"/>
                <w:szCs w:val="18"/>
              </w:rPr>
            </w:pPr>
            <w:r w:rsidRPr="00B26DA4">
              <w:rPr>
                <w:rFonts w:ascii="Arial" w:eastAsia="Arial" w:hAnsi="Arial" w:cs="Arial"/>
                <w:b/>
                <w:color w:val="000000"/>
                <w:sz w:val="18"/>
                <w:szCs w:val="18"/>
              </w:rPr>
              <w:t>(Per 100,000 Population)</w:t>
            </w:r>
          </w:p>
          <w:p w:rsidR="00B26DA4" w:rsidRPr="00B26DA4" w:rsidRDefault="00B26DA4" w:rsidP="008940C2">
            <w:pPr>
              <w:spacing w:after="0" w:line="240" w:lineRule="auto"/>
              <w:jc w:val="center"/>
              <w:rPr>
                <w:rFonts w:ascii="Arial" w:eastAsia="Arial" w:hAnsi="Arial" w:cs="Arial"/>
                <w:b/>
                <w:color w:val="000000"/>
                <w:sz w:val="22"/>
                <w:szCs w:val="22"/>
              </w:rPr>
            </w:pPr>
            <w:r w:rsidRPr="00B26DA4">
              <w:rPr>
                <w:rFonts w:ascii="Arial" w:eastAsia="Arial" w:hAnsi="Arial" w:cs="Arial"/>
                <w:noProof/>
                <w:color w:val="000000"/>
                <w:sz w:val="22"/>
                <w:szCs w:val="22"/>
              </w:rPr>
              <w:drawing>
                <wp:inline distT="0" distB="0" distL="0" distR="0" wp14:anchorId="4062F722" wp14:editId="2FAF9FB4">
                  <wp:extent cx="2675614" cy="1415332"/>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26DA4" w:rsidRPr="00B26DA4" w:rsidRDefault="00B26DA4" w:rsidP="008940C2">
            <w:pPr>
              <w:spacing w:after="0" w:line="240" w:lineRule="auto"/>
              <w:rPr>
                <w:rFonts w:ascii="Arial" w:eastAsia="Open Sans" w:hAnsi="Arial" w:cs="Arial"/>
                <w:i/>
                <w:iCs/>
                <w:color w:val="555555"/>
                <w:sz w:val="18"/>
                <w:szCs w:val="18"/>
              </w:rPr>
            </w:pPr>
            <w:r w:rsidRPr="00B26DA4">
              <w:rPr>
                <w:rFonts w:ascii="Arial" w:eastAsia="Arial" w:hAnsi="Arial" w:cs="Arial"/>
                <w:color w:val="000000"/>
                <w:sz w:val="20"/>
                <w:szCs w:val="20"/>
              </w:rPr>
              <w:t>Residents in the KFH-Fontana/Ontario Medical Center Service Area are less likely to have access to a mental health care provider than the S CA MCA or the state.</w:t>
            </w:r>
          </w:p>
          <w:p w:rsidR="00B26DA4" w:rsidRPr="00B26DA4" w:rsidRDefault="00B26DA4" w:rsidP="008940C2">
            <w:pPr>
              <w:spacing w:after="0" w:line="240" w:lineRule="auto"/>
              <w:rPr>
                <w:rFonts w:ascii="Arial" w:eastAsia="Open Sans" w:hAnsi="Arial" w:cs="Arial"/>
                <w:i/>
                <w:iCs/>
                <w:color w:val="555555"/>
                <w:sz w:val="18"/>
                <w:szCs w:val="18"/>
              </w:rPr>
            </w:pPr>
          </w:p>
          <w:p w:rsidR="00B26DA4" w:rsidRPr="00B26DA4" w:rsidRDefault="00B26DA4" w:rsidP="008940C2">
            <w:pPr>
              <w:spacing w:after="0" w:line="240" w:lineRule="auto"/>
              <w:rPr>
                <w:rFonts w:ascii="Arial" w:eastAsia="Arial" w:hAnsi="Arial" w:cs="Arial"/>
                <w:b/>
                <w:color w:val="000000"/>
                <w:sz w:val="22"/>
                <w:szCs w:val="22"/>
              </w:rPr>
            </w:pPr>
            <w:r w:rsidRPr="00B26DA4">
              <w:rPr>
                <w:rFonts w:ascii="Arial" w:eastAsia="Open Sans" w:hAnsi="Arial" w:cs="Arial"/>
                <w:i/>
                <w:iCs/>
                <w:color w:val="555555"/>
                <w:sz w:val="18"/>
                <w:szCs w:val="18"/>
              </w:rPr>
              <w:t>Source: University of Wisconsin Population Health Institute, County Health Rankings. 2014.</w:t>
            </w:r>
          </w:p>
        </w:tc>
      </w:tr>
      <w:tr w:rsidR="00B26DA4" w:rsidRPr="00B26DA4" w:rsidTr="00C542D4">
        <w:trPr>
          <w:cantSplit/>
          <w:trHeight w:val="3435"/>
        </w:trPr>
        <w:tc>
          <w:tcPr>
            <w:tcW w:w="2672" w:type="pct"/>
            <w:gridSpan w:val="2"/>
            <w:tcBorders>
              <w:top w:val="nil"/>
              <w:left w:val="nil"/>
              <w:bottom w:val="nil"/>
              <w:right w:val="nil"/>
            </w:tcBorders>
          </w:tcPr>
          <w:p w:rsidR="00B26DA4" w:rsidRPr="00B26DA4" w:rsidRDefault="00B26DA4" w:rsidP="008940C2">
            <w:pPr>
              <w:spacing w:after="0" w:line="240" w:lineRule="auto"/>
              <w:jc w:val="center"/>
              <w:rPr>
                <w:rFonts w:ascii="Arial" w:eastAsia="Arial" w:hAnsi="Arial" w:cs="Arial"/>
                <w:color w:val="000000"/>
                <w:sz w:val="22"/>
                <w:szCs w:val="22"/>
              </w:rPr>
            </w:pPr>
            <w:r w:rsidRPr="00B26DA4">
              <w:rPr>
                <w:rFonts w:ascii="Arial" w:eastAsia="Arial" w:hAnsi="Arial" w:cs="Arial"/>
                <w:b/>
                <w:color w:val="000000"/>
                <w:sz w:val="22"/>
                <w:szCs w:val="22"/>
              </w:rPr>
              <w:t>Population Receiving Medi-Cal</w:t>
            </w:r>
          </w:p>
          <w:p w:rsidR="00B26DA4" w:rsidRPr="00B26DA4" w:rsidRDefault="00B26DA4" w:rsidP="008940C2">
            <w:pPr>
              <w:spacing w:after="0" w:line="240" w:lineRule="auto"/>
              <w:rPr>
                <w:rFonts w:ascii="Arial" w:eastAsia="Arial" w:hAnsi="Arial" w:cs="Arial"/>
                <w:b/>
                <w:color w:val="000000"/>
                <w:sz w:val="22"/>
                <w:szCs w:val="22"/>
              </w:rPr>
            </w:pPr>
            <w:r w:rsidRPr="00B26DA4">
              <w:rPr>
                <w:rFonts w:ascii="Arial" w:eastAsia="Arial" w:hAnsi="Arial" w:cs="Arial"/>
                <w:b/>
                <w:noProof/>
                <w:color w:val="000000"/>
                <w:sz w:val="22"/>
                <w:szCs w:val="24"/>
              </w:rPr>
              <w:drawing>
                <wp:inline distT="0" distB="0" distL="0" distR="0" wp14:anchorId="3D7D756C" wp14:editId="110E72D9">
                  <wp:extent cx="3400425" cy="159067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6DA4" w:rsidRPr="00B26DA4" w:rsidRDefault="00B26DA4" w:rsidP="008940C2">
            <w:pPr>
              <w:spacing w:after="0" w:line="240" w:lineRule="auto"/>
              <w:rPr>
                <w:rFonts w:ascii="Arial" w:eastAsia="Arial" w:hAnsi="Arial" w:cs="Arial"/>
                <w:b/>
                <w:color w:val="000000"/>
                <w:sz w:val="22"/>
                <w:szCs w:val="22"/>
              </w:rPr>
            </w:pPr>
            <w:r w:rsidRPr="00B26DA4">
              <w:rPr>
                <w:rFonts w:ascii="Arial" w:eastAsia="Open Sans" w:hAnsi="Arial" w:cs="Arial"/>
                <w:i/>
                <w:iCs/>
                <w:color w:val="555555"/>
                <w:sz w:val="18"/>
                <w:szCs w:val="18"/>
              </w:rPr>
              <w:t>Source: US Census Bureau, American Community Survey. 2010-14. Source geography: Tract</w:t>
            </w:r>
          </w:p>
        </w:tc>
        <w:tc>
          <w:tcPr>
            <w:tcW w:w="2328" w:type="pct"/>
            <w:gridSpan w:val="2"/>
            <w:tcBorders>
              <w:top w:val="nil"/>
              <w:left w:val="nil"/>
              <w:bottom w:val="nil"/>
              <w:right w:val="nil"/>
            </w:tcBorders>
          </w:tcPr>
          <w:p w:rsidR="00B26DA4" w:rsidRPr="00B26DA4" w:rsidRDefault="00B26DA4" w:rsidP="008940C2">
            <w:pPr>
              <w:spacing w:after="0" w:line="240" w:lineRule="auto"/>
              <w:rPr>
                <w:rFonts w:ascii="Arial" w:eastAsia="Arial" w:hAnsi="Arial" w:cs="Arial"/>
                <w:b/>
                <w:color w:val="000000"/>
                <w:sz w:val="22"/>
                <w:szCs w:val="22"/>
              </w:rPr>
            </w:pPr>
          </w:p>
          <w:p w:rsidR="00B26DA4" w:rsidRPr="00B26DA4" w:rsidRDefault="00B26DA4" w:rsidP="008940C2">
            <w:pPr>
              <w:spacing w:after="0" w:line="240" w:lineRule="auto"/>
              <w:rPr>
                <w:rFonts w:ascii="Arial" w:eastAsia="Arial" w:hAnsi="Arial" w:cs="Arial"/>
                <w:b/>
                <w:color w:val="000000"/>
                <w:sz w:val="22"/>
                <w:szCs w:val="22"/>
              </w:rPr>
            </w:pPr>
          </w:p>
          <w:p w:rsidR="00B26DA4" w:rsidRPr="00B26DA4" w:rsidRDefault="00B26DA4" w:rsidP="008940C2">
            <w:pPr>
              <w:spacing w:after="0" w:line="240" w:lineRule="auto"/>
              <w:rPr>
                <w:rFonts w:ascii="Arial" w:eastAsia="Arial" w:hAnsi="Arial" w:cs="Arial"/>
                <w:color w:val="000000"/>
                <w:sz w:val="20"/>
                <w:szCs w:val="20"/>
              </w:rPr>
            </w:pPr>
          </w:p>
          <w:p w:rsidR="00B26DA4" w:rsidRPr="00B26DA4" w:rsidRDefault="00B26DA4" w:rsidP="008940C2">
            <w:pPr>
              <w:spacing w:after="0" w:line="240" w:lineRule="auto"/>
              <w:rPr>
                <w:rFonts w:ascii="Arial" w:eastAsia="Arial" w:hAnsi="Arial" w:cs="Arial"/>
                <w:color w:val="000000"/>
                <w:sz w:val="20"/>
                <w:szCs w:val="20"/>
              </w:rPr>
            </w:pPr>
          </w:p>
          <w:p w:rsidR="00B26DA4" w:rsidRPr="00B26DA4" w:rsidRDefault="00B26DA4" w:rsidP="008940C2">
            <w:pPr>
              <w:spacing w:after="0" w:line="240" w:lineRule="auto"/>
              <w:rPr>
                <w:rFonts w:ascii="Arial" w:eastAsia="Open Sans" w:hAnsi="Arial" w:cs="Arial"/>
                <w:i/>
                <w:iCs/>
                <w:color w:val="555555"/>
                <w:sz w:val="18"/>
                <w:szCs w:val="18"/>
              </w:rPr>
            </w:pPr>
            <w:r w:rsidRPr="00B26DA4">
              <w:rPr>
                <w:rFonts w:ascii="Arial" w:eastAsia="Arial" w:hAnsi="Arial" w:cs="Arial"/>
                <w:color w:val="000000"/>
                <w:sz w:val="20"/>
                <w:szCs w:val="20"/>
              </w:rPr>
              <w:t xml:space="preserve">A higher percentage of the insured population in the KFH-Fontana Medical Center Service Area is receiving Medi-Cal than in the S CA MCA or the state. The KFH-Ontario Medical Center Service Area has a lower percentage than the S CA MCA and the state. </w:t>
            </w:r>
          </w:p>
          <w:p w:rsidR="00B26DA4" w:rsidRPr="00B26DA4" w:rsidRDefault="00B26DA4" w:rsidP="008940C2">
            <w:pPr>
              <w:spacing w:after="0" w:line="240" w:lineRule="auto"/>
              <w:rPr>
                <w:rFonts w:ascii="Arial" w:eastAsia="Open Sans" w:hAnsi="Arial" w:cs="Arial"/>
                <w:i/>
                <w:iCs/>
                <w:color w:val="555555"/>
                <w:sz w:val="18"/>
                <w:szCs w:val="18"/>
              </w:rPr>
            </w:pPr>
          </w:p>
          <w:p w:rsidR="00B26DA4" w:rsidRPr="00B26DA4" w:rsidRDefault="00B26DA4" w:rsidP="008940C2">
            <w:pPr>
              <w:spacing w:after="0" w:line="240" w:lineRule="auto"/>
              <w:rPr>
                <w:rFonts w:ascii="Arial" w:eastAsia="Arial" w:hAnsi="Arial" w:cs="Arial"/>
                <w:b/>
                <w:color w:val="000000"/>
                <w:sz w:val="22"/>
                <w:szCs w:val="22"/>
              </w:rPr>
            </w:pPr>
          </w:p>
        </w:tc>
      </w:tr>
      <w:tr w:rsidR="00B26DA4" w:rsidRPr="00B26DA4" w:rsidTr="00C542D4">
        <w:trPr>
          <w:cantSplit/>
          <w:trHeight w:val="3435"/>
        </w:trPr>
        <w:tc>
          <w:tcPr>
            <w:tcW w:w="2672" w:type="pct"/>
            <w:gridSpan w:val="2"/>
            <w:tcBorders>
              <w:top w:val="nil"/>
              <w:left w:val="nil"/>
              <w:bottom w:val="nil"/>
              <w:right w:val="nil"/>
            </w:tcBorders>
          </w:tcPr>
          <w:p w:rsidR="00B26DA4" w:rsidRPr="00B26DA4" w:rsidRDefault="00B26DA4" w:rsidP="008940C2">
            <w:pPr>
              <w:spacing w:after="0" w:line="240" w:lineRule="auto"/>
              <w:jc w:val="center"/>
              <w:rPr>
                <w:rFonts w:ascii="Arial" w:eastAsia="Arial" w:hAnsi="Arial" w:cs="Arial"/>
                <w:b/>
                <w:color w:val="000000"/>
                <w:sz w:val="22"/>
                <w:szCs w:val="22"/>
              </w:rPr>
            </w:pPr>
          </w:p>
          <w:p w:rsidR="00B26DA4" w:rsidRPr="00B26DA4" w:rsidRDefault="00B26DA4" w:rsidP="008940C2">
            <w:pPr>
              <w:spacing w:after="0" w:line="240" w:lineRule="auto"/>
              <w:jc w:val="center"/>
              <w:rPr>
                <w:rFonts w:ascii="Arial" w:eastAsia="Arial" w:hAnsi="Arial" w:cs="Arial"/>
                <w:b/>
                <w:color w:val="000000"/>
                <w:sz w:val="22"/>
                <w:szCs w:val="22"/>
              </w:rPr>
            </w:pPr>
            <w:r w:rsidRPr="00B26DA4">
              <w:rPr>
                <w:rFonts w:ascii="Arial" w:eastAsia="Arial" w:hAnsi="Arial" w:cs="Arial"/>
                <w:b/>
                <w:color w:val="000000"/>
                <w:sz w:val="22"/>
                <w:szCs w:val="22"/>
              </w:rPr>
              <w:t xml:space="preserve">Preventable Hospital Events </w:t>
            </w:r>
          </w:p>
          <w:p w:rsidR="00B26DA4" w:rsidRPr="00B26DA4" w:rsidRDefault="00B26DA4" w:rsidP="008940C2">
            <w:pPr>
              <w:spacing w:after="0" w:line="240" w:lineRule="auto"/>
              <w:rPr>
                <w:rFonts w:ascii="Arial" w:eastAsia="Arial" w:hAnsi="Arial" w:cs="Arial"/>
                <w:color w:val="000000"/>
                <w:sz w:val="20"/>
                <w:szCs w:val="20"/>
              </w:rPr>
            </w:pPr>
            <w:r w:rsidRPr="00B26DA4">
              <w:rPr>
                <w:rFonts w:ascii="Arial" w:eastAsia="Arial" w:hAnsi="Arial" w:cs="Arial"/>
                <w:noProof/>
                <w:color w:val="000000"/>
                <w:sz w:val="22"/>
                <w:szCs w:val="22"/>
              </w:rPr>
              <w:drawing>
                <wp:inline distT="0" distB="0" distL="0" distR="0" wp14:anchorId="78BB1716" wp14:editId="3C718E9E">
                  <wp:extent cx="3061252" cy="1478943"/>
                  <wp:effectExtent l="0" t="0" r="6350" b="698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6DA4" w:rsidRPr="00B26DA4" w:rsidRDefault="00B26DA4" w:rsidP="008940C2">
            <w:pPr>
              <w:spacing w:after="0" w:line="240" w:lineRule="auto"/>
              <w:rPr>
                <w:rFonts w:ascii="Arial" w:eastAsia="Arial" w:hAnsi="Arial" w:cs="Arial"/>
                <w:color w:val="000000"/>
                <w:sz w:val="20"/>
                <w:szCs w:val="20"/>
              </w:rPr>
            </w:pPr>
            <w:r w:rsidRPr="00B26DA4">
              <w:rPr>
                <w:rFonts w:ascii="Arial" w:eastAsia="Arial" w:hAnsi="Arial" w:cs="Arial"/>
                <w:color w:val="000000"/>
                <w:sz w:val="20"/>
                <w:szCs w:val="20"/>
              </w:rPr>
              <w:t>There is a higher rate of preventable hospital events in the KFH-Fontana Medical Center Service Area when compared to the S CA MCA and the state. Although, the KFH-Ontario Medical Center Service Area is below the S CA MCA, it is still higher than the state.</w:t>
            </w:r>
          </w:p>
          <w:p w:rsidR="00B26DA4" w:rsidRPr="00B26DA4" w:rsidRDefault="00B26DA4" w:rsidP="008940C2">
            <w:pPr>
              <w:spacing w:after="0" w:line="240" w:lineRule="auto"/>
              <w:rPr>
                <w:rFonts w:ascii="Arial" w:eastAsia="Arial" w:hAnsi="Arial" w:cs="Arial"/>
                <w:color w:val="000000"/>
                <w:sz w:val="20"/>
                <w:szCs w:val="20"/>
              </w:rPr>
            </w:pPr>
          </w:p>
          <w:p w:rsidR="00B26DA4" w:rsidRPr="00B26DA4" w:rsidRDefault="00B26DA4" w:rsidP="008940C2">
            <w:pPr>
              <w:spacing w:after="0" w:line="240" w:lineRule="auto"/>
              <w:rPr>
                <w:rFonts w:ascii="Arial" w:eastAsia="Open Sans" w:hAnsi="Arial" w:cs="Arial"/>
                <w:i/>
                <w:iCs/>
                <w:color w:val="555555"/>
                <w:sz w:val="18"/>
                <w:szCs w:val="18"/>
              </w:rPr>
            </w:pPr>
            <w:r w:rsidRPr="00B26DA4">
              <w:rPr>
                <w:rFonts w:ascii="Arial" w:eastAsia="Open Sans" w:hAnsi="Arial" w:cs="Arial"/>
                <w:i/>
                <w:iCs/>
                <w:color w:val="555555"/>
                <w:sz w:val="18"/>
                <w:szCs w:val="18"/>
              </w:rPr>
              <w:t>Source:</w:t>
            </w:r>
            <w:r w:rsidRPr="00B26DA4">
              <w:rPr>
                <w:rFonts w:ascii="Arial" w:eastAsia="Arial" w:hAnsi="Arial" w:cs="Arial"/>
                <w:color w:val="000000"/>
                <w:sz w:val="22"/>
                <w:szCs w:val="22"/>
              </w:rPr>
              <w:t xml:space="preserve"> </w:t>
            </w:r>
            <w:r w:rsidRPr="00B26DA4">
              <w:rPr>
                <w:rFonts w:ascii="Arial" w:eastAsia="Open Sans" w:hAnsi="Arial" w:cs="Arial"/>
                <w:i/>
                <w:iCs/>
                <w:color w:val="555555"/>
                <w:sz w:val="18"/>
                <w:szCs w:val="18"/>
              </w:rPr>
              <w:t>California Office of Statewide Health Planning and Development, OSHPD Patient Discharge Data. Additional data analysis by CARES. 2011. Source geography: ZIP Code</w:t>
            </w:r>
          </w:p>
        </w:tc>
        <w:tc>
          <w:tcPr>
            <w:tcW w:w="2328" w:type="pct"/>
            <w:gridSpan w:val="2"/>
            <w:tcBorders>
              <w:top w:val="nil"/>
              <w:left w:val="nil"/>
              <w:bottom w:val="nil"/>
              <w:right w:val="nil"/>
            </w:tcBorders>
          </w:tcPr>
          <w:p w:rsidR="00B26DA4" w:rsidRPr="00B26DA4" w:rsidRDefault="00B26DA4" w:rsidP="008940C2">
            <w:pPr>
              <w:spacing w:after="0" w:line="240" w:lineRule="auto"/>
              <w:jc w:val="center"/>
              <w:rPr>
                <w:rFonts w:ascii="Arial" w:eastAsia="Arial" w:hAnsi="Arial" w:cs="Arial"/>
                <w:b/>
                <w:color w:val="000000"/>
                <w:sz w:val="22"/>
                <w:szCs w:val="22"/>
              </w:rPr>
            </w:pPr>
          </w:p>
          <w:p w:rsidR="00B26DA4" w:rsidRPr="00B26DA4" w:rsidRDefault="00B26DA4" w:rsidP="008940C2">
            <w:pPr>
              <w:spacing w:after="0" w:line="240" w:lineRule="auto"/>
              <w:jc w:val="center"/>
              <w:rPr>
                <w:rFonts w:ascii="Arial" w:eastAsia="Arial" w:hAnsi="Arial" w:cs="Arial"/>
                <w:b/>
                <w:color w:val="000000"/>
                <w:sz w:val="22"/>
                <w:szCs w:val="22"/>
              </w:rPr>
            </w:pPr>
            <w:r w:rsidRPr="00B26DA4">
              <w:rPr>
                <w:rFonts w:ascii="Arial" w:eastAsia="Arial" w:hAnsi="Arial" w:cs="Arial"/>
                <w:b/>
                <w:color w:val="000000"/>
                <w:sz w:val="22"/>
                <w:szCs w:val="22"/>
              </w:rPr>
              <w:t xml:space="preserve">Federally Qualified Health Centers </w:t>
            </w:r>
          </w:p>
          <w:p w:rsidR="00B26DA4" w:rsidRPr="00B26DA4" w:rsidRDefault="00B26DA4" w:rsidP="008940C2">
            <w:pPr>
              <w:spacing w:after="0" w:line="240" w:lineRule="auto"/>
              <w:rPr>
                <w:rFonts w:ascii="Arial" w:eastAsia="Arial" w:hAnsi="Arial" w:cs="Arial"/>
                <w:color w:val="000000"/>
                <w:sz w:val="20"/>
                <w:szCs w:val="20"/>
              </w:rPr>
            </w:pPr>
            <w:r w:rsidRPr="00B26DA4">
              <w:rPr>
                <w:rFonts w:ascii="Arial" w:eastAsia="Arial" w:hAnsi="Arial" w:cs="Arial"/>
                <w:noProof/>
                <w:color w:val="000000"/>
                <w:sz w:val="22"/>
                <w:szCs w:val="22"/>
              </w:rPr>
              <w:drawing>
                <wp:inline distT="0" distB="0" distL="0" distR="0" wp14:anchorId="6B792554" wp14:editId="2199F0DE">
                  <wp:extent cx="2904214" cy="1478943"/>
                  <wp:effectExtent l="0" t="0" r="0"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6DA4" w:rsidRPr="00B26DA4" w:rsidRDefault="00B26DA4" w:rsidP="008940C2">
            <w:pPr>
              <w:spacing w:after="0" w:line="240" w:lineRule="auto"/>
              <w:rPr>
                <w:rFonts w:ascii="Arial" w:eastAsia="Arial" w:hAnsi="Arial" w:cs="Arial"/>
                <w:color w:val="000000"/>
                <w:sz w:val="20"/>
                <w:szCs w:val="20"/>
              </w:rPr>
            </w:pPr>
            <w:r w:rsidRPr="00B26DA4">
              <w:rPr>
                <w:rFonts w:ascii="Arial" w:eastAsia="Arial" w:hAnsi="Arial" w:cs="Arial"/>
                <w:color w:val="000000"/>
                <w:sz w:val="20"/>
                <w:szCs w:val="20"/>
              </w:rPr>
              <w:t>The rate of Federally Qualified Health Centers in the KFH-Fontana/Ontario Medical Center Service Areas is higher than the state rate, but lower than the S CA MCA.</w:t>
            </w:r>
          </w:p>
          <w:p w:rsidR="00B26DA4" w:rsidRPr="00B26DA4" w:rsidRDefault="00B26DA4" w:rsidP="008940C2">
            <w:pPr>
              <w:spacing w:after="0" w:line="240" w:lineRule="auto"/>
              <w:rPr>
                <w:rFonts w:ascii="Arial" w:eastAsia="Arial" w:hAnsi="Arial" w:cs="Arial"/>
                <w:color w:val="000000"/>
                <w:sz w:val="20"/>
                <w:szCs w:val="20"/>
              </w:rPr>
            </w:pPr>
          </w:p>
          <w:p w:rsidR="00B26DA4" w:rsidRPr="00B26DA4" w:rsidRDefault="00B26DA4" w:rsidP="008940C2">
            <w:pPr>
              <w:spacing w:after="0" w:line="240" w:lineRule="auto"/>
              <w:rPr>
                <w:rFonts w:ascii="Arial" w:eastAsia="Arial" w:hAnsi="Arial" w:cs="Arial"/>
                <w:color w:val="000000"/>
                <w:sz w:val="20"/>
                <w:szCs w:val="20"/>
              </w:rPr>
            </w:pPr>
            <w:r w:rsidRPr="00B26DA4">
              <w:rPr>
                <w:rFonts w:ascii="Arial" w:eastAsia="Open Sans" w:hAnsi="Arial" w:cs="Arial"/>
                <w:i/>
                <w:iCs/>
                <w:color w:val="555555"/>
                <w:sz w:val="18"/>
                <w:szCs w:val="18"/>
              </w:rPr>
              <w:t>Source:</w:t>
            </w:r>
            <w:r w:rsidRPr="00B26DA4">
              <w:rPr>
                <w:rFonts w:ascii="Arial" w:eastAsia="Arial" w:hAnsi="Arial" w:cs="Arial"/>
                <w:color w:val="000000"/>
                <w:sz w:val="22"/>
                <w:szCs w:val="22"/>
              </w:rPr>
              <w:t xml:space="preserve"> </w:t>
            </w:r>
            <w:r w:rsidRPr="00B26DA4">
              <w:rPr>
                <w:rFonts w:ascii="Arial" w:eastAsia="Open Sans" w:hAnsi="Arial" w:cs="Arial"/>
                <w:i/>
                <w:iCs/>
                <w:color w:val="555555"/>
                <w:sz w:val="18"/>
                <w:szCs w:val="18"/>
              </w:rPr>
              <w:t>US Department of Health &amp; Human Services, Center for Medicare &amp; Medicaid Services, Provider of Services File. Sept. 2015. Source geography: Address</w:t>
            </w:r>
          </w:p>
        </w:tc>
      </w:tr>
      <w:tr w:rsidR="00B26DA4" w:rsidRPr="00B26DA4" w:rsidTr="00C542D4">
        <w:trPr>
          <w:cantSplit/>
          <w:trHeight w:val="3435"/>
        </w:trPr>
        <w:tc>
          <w:tcPr>
            <w:tcW w:w="2672" w:type="pct"/>
            <w:gridSpan w:val="2"/>
            <w:tcBorders>
              <w:top w:val="nil"/>
              <w:left w:val="nil"/>
              <w:bottom w:val="nil"/>
              <w:right w:val="nil"/>
            </w:tcBorders>
          </w:tcPr>
          <w:p w:rsidR="00B26DA4" w:rsidRPr="00B26DA4" w:rsidRDefault="00B26DA4" w:rsidP="008940C2">
            <w:pPr>
              <w:spacing w:after="0" w:line="240" w:lineRule="auto"/>
              <w:jc w:val="center"/>
              <w:rPr>
                <w:rFonts w:ascii="Arial" w:eastAsia="Arial" w:hAnsi="Arial" w:cs="Arial"/>
                <w:b/>
                <w:color w:val="000000"/>
                <w:sz w:val="22"/>
                <w:szCs w:val="22"/>
              </w:rPr>
            </w:pPr>
            <w:r w:rsidRPr="00B26DA4">
              <w:rPr>
                <w:rFonts w:ascii="Arial" w:eastAsia="Arial" w:hAnsi="Arial" w:cs="Arial"/>
                <w:b/>
                <w:color w:val="000000"/>
                <w:sz w:val="22"/>
                <w:szCs w:val="22"/>
              </w:rPr>
              <w:t>Health Professional Shortage Area</w:t>
            </w:r>
          </w:p>
          <w:p w:rsidR="00B26DA4" w:rsidRPr="00B26DA4" w:rsidRDefault="00B26DA4" w:rsidP="008940C2">
            <w:pPr>
              <w:spacing w:after="0" w:line="240" w:lineRule="auto"/>
              <w:jc w:val="center"/>
              <w:rPr>
                <w:rFonts w:ascii="Arial" w:eastAsia="Arial" w:hAnsi="Arial" w:cs="Arial"/>
                <w:b/>
                <w:color w:val="000000"/>
                <w:sz w:val="22"/>
                <w:szCs w:val="22"/>
              </w:rPr>
            </w:pPr>
            <w:r w:rsidRPr="00B26DA4">
              <w:rPr>
                <w:rFonts w:ascii="Arial" w:eastAsia="Arial" w:hAnsi="Arial" w:cs="Arial"/>
                <w:b/>
                <w:color w:val="000000"/>
                <w:sz w:val="22"/>
                <w:szCs w:val="22"/>
              </w:rPr>
              <w:t>Primary Care</w:t>
            </w:r>
          </w:p>
          <w:p w:rsidR="00B26DA4" w:rsidRPr="00B26DA4" w:rsidRDefault="00B26DA4" w:rsidP="008940C2">
            <w:pPr>
              <w:spacing w:after="0" w:line="240" w:lineRule="auto"/>
              <w:jc w:val="center"/>
              <w:rPr>
                <w:rFonts w:ascii="Arial" w:eastAsia="Arial" w:hAnsi="Arial" w:cs="Arial"/>
                <w:b/>
                <w:color w:val="000000"/>
                <w:sz w:val="22"/>
                <w:szCs w:val="22"/>
              </w:rPr>
            </w:pPr>
            <w:r w:rsidRPr="00B26DA4">
              <w:rPr>
                <w:rFonts w:ascii="Arial" w:eastAsia="Arial" w:hAnsi="Arial" w:cs="Arial"/>
                <w:noProof/>
                <w:color w:val="000000"/>
                <w:sz w:val="22"/>
                <w:szCs w:val="22"/>
              </w:rPr>
              <w:drawing>
                <wp:inline distT="0" distB="0" distL="0" distR="0" wp14:anchorId="0B49D01F" wp14:editId="29C1EB5D">
                  <wp:extent cx="3209925" cy="147637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6DA4" w:rsidRPr="00B26DA4" w:rsidRDefault="00B26DA4" w:rsidP="008940C2">
            <w:pPr>
              <w:spacing w:after="0" w:line="240" w:lineRule="auto"/>
              <w:rPr>
                <w:rFonts w:ascii="Arial" w:eastAsia="Open Sans" w:hAnsi="Arial" w:cs="Arial"/>
                <w:i/>
                <w:iCs/>
                <w:color w:val="555555"/>
                <w:sz w:val="18"/>
                <w:szCs w:val="18"/>
              </w:rPr>
            </w:pPr>
            <w:r w:rsidRPr="00B26DA4">
              <w:rPr>
                <w:rFonts w:ascii="Arial" w:eastAsia="Open Sans" w:hAnsi="Arial" w:cs="Arial"/>
                <w:i/>
                <w:iCs/>
                <w:color w:val="555555"/>
                <w:sz w:val="18"/>
                <w:szCs w:val="18"/>
              </w:rPr>
              <w:t>Source:</w:t>
            </w:r>
            <w:r w:rsidRPr="00B26DA4">
              <w:rPr>
                <w:rFonts w:ascii="Arial" w:eastAsia="Arial" w:hAnsi="Arial" w:cs="Arial"/>
                <w:color w:val="000000"/>
                <w:sz w:val="22"/>
                <w:szCs w:val="22"/>
              </w:rPr>
              <w:t xml:space="preserve"> </w:t>
            </w:r>
            <w:r w:rsidRPr="00B26DA4">
              <w:rPr>
                <w:rFonts w:ascii="Arial" w:eastAsia="Open Sans" w:hAnsi="Arial" w:cs="Arial"/>
                <w:i/>
                <w:iCs/>
                <w:color w:val="555555"/>
                <w:sz w:val="18"/>
                <w:szCs w:val="18"/>
              </w:rPr>
              <w:t>US Department of Health &amp; Human Services, Health Resources and Services Administration, Health Resources and Services Administration. March 2015. Source geography: HPSA</w:t>
            </w:r>
          </w:p>
        </w:tc>
        <w:tc>
          <w:tcPr>
            <w:tcW w:w="2328" w:type="pct"/>
            <w:gridSpan w:val="2"/>
            <w:tcBorders>
              <w:top w:val="nil"/>
              <w:left w:val="nil"/>
              <w:bottom w:val="nil"/>
              <w:right w:val="nil"/>
            </w:tcBorders>
          </w:tcPr>
          <w:p w:rsidR="00B26DA4" w:rsidRPr="00B26DA4" w:rsidRDefault="00B26DA4" w:rsidP="008940C2">
            <w:pPr>
              <w:spacing w:after="0" w:line="240" w:lineRule="auto"/>
              <w:jc w:val="center"/>
              <w:rPr>
                <w:rFonts w:ascii="Arial" w:eastAsia="Arial" w:hAnsi="Arial" w:cs="Arial"/>
                <w:b/>
                <w:color w:val="000000"/>
                <w:sz w:val="22"/>
                <w:szCs w:val="22"/>
              </w:rPr>
            </w:pPr>
            <w:r w:rsidRPr="00B26DA4">
              <w:rPr>
                <w:rFonts w:ascii="Arial" w:eastAsia="Arial" w:hAnsi="Arial" w:cs="Arial"/>
                <w:b/>
                <w:color w:val="000000"/>
                <w:sz w:val="22"/>
                <w:szCs w:val="22"/>
              </w:rPr>
              <w:t>Health Professional Shortage Area</w:t>
            </w:r>
          </w:p>
          <w:p w:rsidR="00B26DA4" w:rsidRPr="00B26DA4" w:rsidRDefault="00B26DA4" w:rsidP="008940C2">
            <w:pPr>
              <w:spacing w:after="0" w:line="240" w:lineRule="auto"/>
              <w:jc w:val="center"/>
              <w:rPr>
                <w:rFonts w:ascii="Arial" w:eastAsia="Arial" w:hAnsi="Arial" w:cs="Arial"/>
                <w:b/>
                <w:color w:val="000000"/>
                <w:sz w:val="22"/>
                <w:szCs w:val="22"/>
              </w:rPr>
            </w:pPr>
            <w:r w:rsidRPr="00B26DA4">
              <w:rPr>
                <w:rFonts w:ascii="Arial" w:eastAsia="Arial" w:hAnsi="Arial" w:cs="Arial"/>
                <w:b/>
                <w:color w:val="000000"/>
                <w:sz w:val="22"/>
                <w:szCs w:val="22"/>
              </w:rPr>
              <w:t>Dental</w:t>
            </w:r>
          </w:p>
          <w:p w:rsidR="00B26DA4" w:rsidRPr="00B26DA4" w:rsidRDefault="00B26DA4" w:rsidP="008940C2">
            <w:pPr>
              <w:spacing w:after="0" w:line="240" w:lineRule="auto"/>
              <w:jc w:val="center"/>
              <w:rPr>
                <w:rFonts w:ascii="Arial" w:eastAsia="Arial" w:hAnsi="Arial" w:cs="Arial"/>
                <w:noProof/>
                <w:color w:val="000000"/>
                <w:sz w:val="22"/>
                <w:szCs w:val="22"/>
              </w:rPr>
            </w:pPr>
          </w:p>
          <w:tbl>
            <w:tblPr>
              <w:tblStyle w:val="TableGrid1"/>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1807"/>
            </w:tblGrid>
            <w:tr w:rsidR="00B26DA4" w:rsidRPr="00B26DA4" w:rsidTr="008940C2">
              <w:trPr>
                <w:trHeight w:val="328"/>
              </w:trPr>
              <w:tc>
                <w:tcPr>
                  <w:tcW w:w="3002" w:type="dxa"/>
                </w:tcPr>
                <w:p w:rsidR="00B26DA4" w:rsidRPr="00B26DA4" w:rsidRDefault="00B26DA4" w:rsidP="007948A4">
                  <w:pPr>
                    <w:framePr w:hSpace="180" w:wrap="around" w:vAnchor="text" w:hAnchor="margin" w:y="-274"/>
                    <w:widowControl/>
                    <w:spacing w:after="0" w:line="240" w:lineRule="auto"/>
                    <w:rPr>
                      <w:rFonts w:ascii="Arial" w:hAnsi="Arial" w:cs="Arial"/>
                      <w:sz w:val="22"/>
                      <w:szCs w:val="22"/>
                    </w:rPr>
                  </w:pPr>
                  <w:r w:rsidRPr="00B26DA4">
                    <w:rPr>
                      <w:rFonts w:ascii="Arial" w:hAnsi="Arial" w:cs="Arial"/>
                      <w:sz w:val="22"/>
                      <w:szCs w:val="22"/>
                    </w:rPr>
                    <w:t>KFH-Fontana MCSA</w:t>
                  </w:r>
                </w:p>
              </w:tc>
              <w:tc>
                <w:tcPr>
                  <w:tcW w:w="2112" w:type="dxa"/>
                </w:tcPr>
                <w:p w:rsidR="00B26DA4" w:rsidRPr="00B26DA4" w:rsidRDefault="00B26DA4" w:rsidP="007948A4">
                  <w:pPr>
                    <w:framePr w:hSpace="180" w:wrap="around" w:vAnchor="text" w:hAnchor="margin" w:y="-274"/>
                    <w:widowControl/>
                    <w:spacing w:after="0" w:line="240" w:lineRule="auto"/>
                    <w:rPr>
                      <w:rFonts w:ascii="Arial" w:hAnsi="Arial" w:cs="Arial"/>
                      <w:sz w:val="22"/>
                      <w:szCs w:val="22"/>
                    </w:rPr>
                  </w:pPr>
                  <w:r w:rsidRPr="00B26DA4">
                    <w:rPr>
                      <w:rFonts w:ascii="Arial" w:hAnsi="Arial" w:cs="Arial"/>
                      <w:sz w:val="22"/>
                      <w:szCs w:val="22"/>
                    </w:rPr>
                    <w:t>0%</w:t>
                  </w:r>
                </w:p>
              </w:tc>
            </w:tr>
            <w:tr w:rsidR="00B26DA4" w:rsidRPr="00B26DA4" w:rsidTr="008940C2">
              <w:trPr>
                <w:trHeight w:val="310"/>
              </w:trPr>
              <w:tc>
                <w:tcPr>
                  <w:tcW w:w="3002" w:type="dxa"/>
                </w:tcPr>
                <w:p w:rsidR="00B26DA4" w:rsidRPr="00B26DA4" w:rsidRDefault="00B26DA4" w:rsidP="007948A4">
                  <w:pPr>
                    <w:framePr w:hSpace="180" w:wrap="around" w:vAnchor="text" w:hAnchor="margin" w:y="-274"/>
                    <w:widowControl/>
                    <w:spacing w:after="0" w:line="240" w:lineRule="auto"/>
                    <w:rPr>
                      <w:rFonts w:ascii="Arial" w:hAnsi="Arial" w:cs="Arial"/>
                      <w:sz w:val="22"/>
                      <w:szCs w:val="22"/>
                    </w:rPr>
                  </w:pPr>
                  <w:r w:rsidRPr="00B26DA4">
                    <w:rPr>
                      <w:rFonts w:ascii="Arial" w:hAnsi="Arial" w:cs="Arial"/>
                      <w:sz w:val="22"/>
                      <w:szCs w:val="22"/>
                    </w:rPr>
                    <w:t>KFH-Ontario MCSA</w:t>
                  </w:r>
                </w:p>
              </w:tc>
              <w:tc>
                <w:tcPr>
                  <w:tcW w:w="2112" w:type="dxa"/>
                </w:tcPr>
                <w:p w:rsidR="00B26DA4" w:rsidRPr="00B26DA4" w:rsidRDefault="00B26DA4" w:rsidP="007948A4">
                  <w:pPr>
                    <w:framePr w:hSpace="180" w:wrap="around" w:vAnchor="text" w:hAnchor="margin" w:y="-274"/>
                    <w:widowControl/>
                    <w:spacing w:after="0" w:line="240" w:lineRule="auto"/>
                    <w:rPr>
                      <w:rFonts w:ascii="Arial" w:hAnsi="Arial" w:cs="Arial"/>
                      <w:sz w:val="22"/>
                      <w:szCs w:val="22"/>
                    </w:rPr>
                  </w:pPr>
                  <w:r w:rsidRPr="00B26DA4">
                    <w:rPr>
                      <w:rFonts w:ascii="Arial" w:hAnsi="Arial" w:cs="Arial"/>
                      <w:sz w:val="22"/>
                      <w:szCs w:val="22"/>
                    </w:rPr>
                    <w:t>0%</w:t>
                  </w:r>
                </w:p>
              </w:tc>
            </w:tr>
            <w:tr w:rsidR="00B26DA4" w:rsidRPr="00B26DA4" w:rsidTr="008940C2">
              <w:trPr>
                <w:trHeight w:val="350"/>
              </w:trPr>
              <w:tc>
                <w:tcPr>
                  <w:tcW w:w="3002" w:type="dxa"/>
                </w:tcPr>
                <w:p w:rsidR="00B26DA4" w:rsidRPr="00B26DA4" w:rsidRDefault="00B26DA4" w:rsidP="007948A4">
                  <w:pPr>
                    <w:framePr w:hSpace="180" w:wrap="around" w:vAnchor="text" w:hAnchor="margin" w:y="-274"/>
                    <w:widowControl/>
                    <w:spacing w:after="0" w:line="240" w:lineRule="auto"/>
                    <w:rPr>
                      <w:rFonts w:ascii="Arial" w:hAnsi="Arial" w:cs="Arial"/>
                      <w:sz w:val="22"/>
                      <w:szCs w:val="22"/>
                    </w:rPr>
                  </w:pPr>
                  <w:r w:rsidRPr="00B26DA4">
                    <w:rPr>
                      <w:rFonts w:ascii="Arial" w:hAnsi="Arial" w:cs="Arial"/>
                      <w:sz w:val="22"/>
                      <w:szCs w:val="22"/>
                    </w:rPr>
                    <w:t>S CA MCA</w:t>
                  </w:r>
                </w:p>
              </w:tc>
              <w:tc>
                <w:tcPr>
                  <w:tcW w:w="2112" w:type="dxa"/>
                </w:tcPr>
                <w:p w:rsidR="00B26DA4" w:rsidRPr="00B26DA4" w:rsidRDefault="00B26DA4" w:rsidP="007948A4">
                  <w:pPr>
                    <w:framePr w:hSpace="180" w:wrap="around" w:vAnchor="text" w:hAnchor="margin" w:y="-274"/>
                    <w:widowControl/>
                    <w:spacing w:after="0" w:line="240" w:lineRule="auto"/>
                    <w:rPr>
                      <w:rFonts w:ascii="Arial" w:hAnsi="Arial" w:cs="Arial"/>
                      <w:sz w:val="22"/>
                      <w:szCs w:val="22"/>
                    </w:rPr>
                  </w:pPr>
                  <w:r w:rsidRPr="00B26DA4">
                    <w:rPr>
                      <w:rFonts w:ascii="Arial" w:hAnsi="Arial" w:cs="Arial"/>
                      <w:sz w:val="22"/>
                      <w:szCs w:val="22"/>
                    </w:rPr>
                    <w:t>3.1%</w:t>
                  </w:r>
                </w:p>
              </w:tc>
            </w:tr>
            <w:tr w:rsidR="00B26DA4" w:rsidRPr="00B26DA4" w:rsidTr="008940C2">
              <w:trPr>
                <w:trHeight w:val="328"/>
              </w:trPr>
              <w:tc>
                <w:tcPr>
                  <w:tcW w:w="3002" w:type="dxa"/>
                </w:tcPr>
                <w:p w:rsidR="00B26DA4" w:rsidRPr="00B26DA4" w:rsidRDefault="00B26DA4" w:rsidP="007948A4">
                  <w:pPr>
                    <w:framePr w:hSpace="180" w:wrap="around" w:vAnchor="text" w:hAnchor="margin" w:y="-274"/>
                    <w:widowControl/>
                    <w:spacing w:after="0" w:line="240" w:lineRule="auto"/>
                    <w:rPr>
                      <w:rFonts w:ascii="Arial" w:hAnsi="Arial" w:cs="Arial"/>
                      <w:sz w:val="22"/>
                      <w:szCs w:val="22"/>
                    </w:rPr>
                  </w:pPr>
                  <w:r w:rsidRPr="00B26DA4">
                    <w:rPr>
                      <w:rFonts w:ascii="Arial" w:hAnsi="Arial" w:cs="Arial"/>
                      <w:sz w:val="22"/>
                      <w:szCs w:val="22"/>
                    </w:rPr>
                    <w:t>California</w:t>
                  </w:r>
                </w:p>
              </w:tc>
              <w:tc>
                <w:tcPr>
                  <w:tcW w:w="2112" w:type="dxa"/>
                </w:tcPr>
                <w:p w:rsidR="00B26DA4" w:rsidRPr="00B26DA4" w:rsidRDefault="00B26DA4" w:rsidP="007948A4">
                  <w:pPr>
                    <w:framePr w:hSpace="180" w:wrap="around" w:vAnchor="text" w:hAnchor="margin" w:y="-274"/>
                    <w:widowControl/>
                    <w:spacing w:after="0" w:line="240" w:lineRule="auto"/>
                    <w:rPr>
                      <w:rFonts w:ascii="Arial" w:hAnsi="Arial" w:cs="Arial"/>
                      <w:sz w:val="22"/>
                      <w:szCs w:val="22"/>
                    </w:rPr>
                  </w:pPr>
                  <w:r w:rsidRPr="00B26DA4">
                    <w:rPr>
                      <w:rFonts w:ascii="Arial" w:hAnsi="Arial" w:cs="Arial"/>
                      <w:sz w:val="22"/>
                      <w:szCs w:val="22"/>
                    </w:rPr>
                    <w:t>4.9%</w:t>
                  </w:r>
                </w:p>
              </w:tc>
            </w:tr>
          </w:tbl>
          <w:p w:rsidR="00B26DA4" w:rsidRPr="00B26DA4" w:rsidRDefault="00B26DA4" w:rsidP="008940C2">
            <w:pPr>
              <w:spacing w:after="0" w:line="240" w:lineRule="auto"/>
              <w:jc w:val="center"/>
              <w:rPr>
                <w:rFonts w:ascii="Arial" w:eastAsia="Arial" w:hAnsi="Arial" w:cs="Arial"/>
                <w:b/>
                <w:color w:val="000000"/>
                <w:sz w:val="22"/>
                <w:szCs w:val="22"/>
              </w:rPr>
            </w:pPr>
          </w:p>
          <w:p w:rsidR="00B26DA4" w:rsidRPr="00B26DA4" w:rsidRDefault="00B26DA4" w:rsidP="008940C2">
            <w:pPr>
              <w:spacing w:after="0" w:line="240" w:lineRule="auto"/>
              <w:rPr>
                <w:rFonts w:ascii="Arial" w:eastAsia="Open Sans" w:hAnsi="Arial" w:cs="Arial"/>
                <w:i/>
                <w:iCs/>
                <w:color w:val="555555"/>
                <w:sz w:val="18"/>
                <w:szCs w:val="18"/>
              </w:rPr>
            </w:pPr>
          </w:p>
          <w:p w:rsidR="00B26DA4" w:rsidRPr="00B26DA4" w:rsidRDefault="00B26DA4" w:rsidP="008940C2">
            <w:pPr>
              <w:spacing w:after="0" w:line="240" w:lineRule="auto"/>
              <w:rPr>
                <w:rFonts w:ascii="Arial" w:eastAsia="Open Sans" w:hAnsi="Arial" w:cs="Arial"/>
                <w:i/>
                <w:iCs/>
                <w:color w:val="555555"/>
                <w:sz w:val="18"/>
                <w:szCs w:val="18"/>
              </w:rPr>
            </w:pPr>
          </w:p>
          <w:p w:rsidR="00B26DA4" w:rsidRPr="00B26DA4" w:rsidRDefault="00B26DA4" w:rsidP="008940C2">
            <w:pPr>
              <w:spacing w:after="0" w:line="240" w:lineRule="auto"/>
              <w:rPr>
                <w:rFonts w:ascii="Arial" w:eastAsia="Open Sans" w:hAnsi="Arial" w:cs="Arial"/>
                <w:i/>
                <w:iCs/>
                <w:color w:val="555555"/>
                <w:sz w:val="18"/>
                <w:szCs w:val="18"/>
              </w:rPr>
            </w:pPr>
            <w:r w:rsidRPr="00B26DA4">
              <w:rPr>
                <w:rFonts w:ascii="Arial" w:eastAsia="Open Sans" w:hAnsi="Arial" w:cs="Arial"/>
                <w:i/>
                <w:iCs/>
                <w:color w:val="555555"/>
                <w:sz w:val="18"/>
                <w:szCs w:val="18"/>
              </w:rPr>
              <w:t>Source:</w:t>
            </w:r>
            <w:r w:rsidRPr="00B26DA4">
              <w:rPr>
                <w:rFonts w:ascii="Arial" w:eastAsia="Arial" w:hAnsi="Arial" w:cs="Arial"/>
                <w:color w:val="000000"/>
                <w:sz w:val="22"/>
                <w:szCs w:val="22"/>
              </w:rPr>
              <w:t xml:space="preserve"> </w:t>
            </w:r>
            <w:r w:rsidRPr="00B26DA4">
              <w:rPr>
                <w:rFonts w:ascii="Arial" w:eastAsia="Open Sans" w:hAnsi="Arial" w:cs="Arial"/>
                <w:i/>
                <w:iCs/>
                <w:color w:val="555555"/>
                <w:sz w:val="18"/>
                <w:szCs w:val="18"/>
              </w:rPr>
              <w:t>US Department of Health &amp; Human Services, Health Resources and Services Administration, Health Resources and Services Administration. March 2015. Source geography: HPSA</w:t>
            </w:r>
          </w:p>
          <w:p w:rsidR="00B26DA4" w:rsidRPr="00B26DA4" w:rsidRDefault="00B26DA4" w:rsidP="008940C2">
            <w:pPr>
              <w:spacing w:after="0" w:line="240" w:lineRule="auto"/>
              <w:jc w:val="center"/>
              <w:rPr>
                <w:rFonts w:ascii="Arial" w:eastAsia="Arial" w:hAnsi="Arial" w:cs="Arial"/>
                <w:b/>
                <w:color w:val="000000"/>
                <w:sz w:val="22"/>
                <w:szCs w:val="22"/>
              </w:rPr>
            </w:pPr>
          </w:p>
        </w:tc>
      </w:tr>
      <w:tr w:rsidR="00B26DA4" w:rsidRPr="00B26DA4" w:rsidTr="00C542D4">
        <w:trPr>
          <w:gridAfter w:val="1"/>
          <w:wAfter w:w="13" w:type="pct"/>
          <w:trHeight w:val="424"/>
        </w:trPr>
        <w:tc>
          <w:tcPr>
            <w:tcW w:w="4987" w:type="pct"/>
            <w:gridSpan w:val="3"/>
            <w:tcBorders>
              <w:top w:val="nil"/>
              <w:left w:val="nil"/>
              <w:bottom w:val="nil"/>
              <w:right w:val="nil"/>
            </w:tcBorders>
            <w:shd w:val="clear" w:color="auto" w:fill="006D9D"/>
            <w:tcMar>
              <w:top w:w="57" w:type="dxa"/>
              <w:left w:w="57" w:type="dxa"/>
              <w:bottom w:w="57" w:type="dxa"/>
              <w:right w:w="57" w:type="dxa"/>
            </w:tcMar>
          </w:tcPr>
          <w:p w:rsidR="00B26DA4" w:rsidRPr="00B26DA4" w:rsidRDefault="00B26DA4" w:rsidP="008940C2">
            <w:pPr>
              <w:spacing w:after="0" w:line="240" w:lineRule="auto"/>
              <w:rPr>
                <w:rFonts w:ascii="Arial" w:eastAsia="Arial" w:hAnsi="Arial" w:cs="Arial"/>
                <w:color w:val="000000"/>
                <w:sz w:val="22"/>
                <w:szCs w:val="22"/>
              </w:rPr>
            </w:pPr>
            <w:r w:rsidRPr="00B26DA4">
              <w:rPr>
                <w:rFonts w:ascii="Arial" w:eastAsia="Arial" w:hAnsi="Arial" w:cs="Arial"/>
                <w:b/>
                <w:color w:val="FFFFFF"/>
                <w:sz w:val="32"/>
                <w:szCs w:val="32"/>
              </w:rPr>
              <w:t>Health Disparities</w:t>
            </w:r>
          </w:p>
        </w:tc>
      </w:tr>
      <w:tr w:rsidR="00B26DA4" w:rsidRPr="00B26DA4" w:rsidTr="00C542D4">
        <w:trPr>
          <w:gridAfter w:val="1"/>
          <w:wAfter w:w="13" w:type="pct"/>
          <w:trHeight w:val="3262"/>
        </w:trPr>
        <w:tc>
          <w:tcPr>
            <w:tcW w:w="4987" w:type="pct"/>
            <w:gridSpan w:val="3"/>
            <w:tcBorders>
              <w:top w:val="nil"/>
              <w:left w:val="nil"/>
              <w:bottom w:val="nil"/>
              <w:right w:val="nil"/>
            </w:tcBorders>
            <w:shd w:val="clear" w:color="auto" w:fill="D9D9D9" w:themeFill="background1" w:themeFillShade="D9"/>
            <w:tcMar>
              <w:top w:w="100" w:type="dxa"/>
              <w:left w:w="100" w:type="dxa"/>
              <w:bottom w:w="100" w:type="dxa"/>
              <w:right w:w="100" w:type="dxa"/>
            </w:tcMar>
          </w:tcPr>
          <w:p w:rsidR="00B26DA4" w:rsidRPr="00B26DA4" w:rsidRDefault="00B26DA4" w:rsidP="008940C2">
            <w:pPr>
              <w:spacing w:after="0" w:line="240" w:lineRule="auto"/>
              <w:rPr>
                <w:rFonts w:ascii="Arial" w:eastAsia="Arial" w:hAnsi="Arial" w:cs="Arial"/>
                <w:b/>
                <w:color w:val="000000"/>
                <w:sz w:val="22"/>
                <w:szCs w:val="22"/>
              </w:rPr>
            </w:pPr>
            <w:r w:rsidRPr="00B26DA4">
              <w:rPr>
                <w:rFonts w:ascii="Arial" w:eastAsia="Arial" w:hAnsi="Arial" w:cs="Arial"/>
                <w:b/>
                <w:color w:val="000000"/>
                <w:sz w:val="22"/>
                <w:szCs w:val="22"/>
              </w:rPr>
              <w:t>Community Description of Disparities</w:t>
            </w:r>
          </w:p>
          <w:p w:rsidR="00B26DA4" w:rsidRPr="00B26DA4" w:rsidRDefault="00B26DA4" w:rsidP="008940C2">
            <w:pPr>
              <w:spacing w:after="0" w:line="240" w:lineRule="auto"/>
              <w:rPr>
                <w:rFonts w:ascii="Arial" w:eastAsia="Arial" w:hAnsi="Arial" w:cs="Arial"/>
                <w:b/>
                <w:color w:val="000000"/>
                <w:sz w:val="22"/>
                <w:szCs w:val="22"/>
              </w:rPr>
            </w:pPr>
          </w:p>
          <w:p w:rsidR="00B26DA4" w:rsidRPr="00B26DA4" w:rsidRDefault="00B26DA4" w:rsidP="008940C2">
            <w:pPr>
              <w:spacing w:after="0" w:line="240" w:lineRule="auto"/>
              <w:rPr>
                <w:rFonts w:ascii="Arial" w:eastAsia="Arial" w:hAnsi="Arial" w:cs="Arial"/>
                <w:color w:val="000000"/>
                <w:sz w:val="22"/>
                <w:szCs w:val="22"/>
              </w:rPr>
            </w:pPr>
            <w:r w:rsidRPr="00B26DA4">
              <w:rPr>
                <w:rFonts w:ascii="Arial" w:eastAsia="Arial" w:hAnsi="Arial" w:cs="Arial"/>
                <w:color w:val="000000"/>
                <w:sz w:val="22"/>
                <w:szCs w:val="22"/>
              </w:rPr>
              <w:t xml:space="preserve">Community stakeholders identified health care access as being especially problematic for those living in the </w:t>
            </w:r>
            <w:r w:rsidRPr="00B26DA4">
              <w:rPr>
                <w:rFonts w:ascii="Arial" w:eastAsia="Arial" w:hAnsi="Arial" w:cs="Arial"/>
                <w:b/>
                <w:color w:val="000000"/>
                <w:sz w:val="22"/>
                <w:szCs w:val="22"/>
              </w:rPr>
              <w:t>Mountain and Desert regions of the KFH-Fontana Medical Center Service Area;</w:t>
            </w:r>
            <w:r w:rsidRPr="00B26DA4">
              <w:rPr>
                <w:rFonts w:ascii="Arial" w:eastAsia="Arial" w:hAnsi="Arial" w:cs="Arial"/>
                <w:color w:val="000000"/>
                <w:sz w:val="22"/>
                <w:szCs w:val="22"/>
              </w:rPr>
              <w:t xml:space="preserve"> in these regions people have to travel long distances to access primary and specialty care. During inclement weather, travel can be dangerous or impossible. In the </w:t>
            </w:r>
            <w:r w:rsidRPr="00B26DA4">
              <w:rPr>
                <w:rFonts w:ascii="Arial" w:eastAsia="Arial" w:hAnsi="Arial" w:cs="Arial"/>
                <w:b/>
                <w:color w:val="000000"/>
                <w:sz w:val="22"/>
                <w:szCs w:val="22"/>
              </w:rPr>
              <w:t>KFH-Fontana/Ontario Medical Center Service Areas</w:t>
            </w:r>
            <w:r w:rsidRPr="00B26DA4">
              <w:rPr>
                <w:rFonts w:ascii="Arial" w:eastAsia="Arial" w:hAnsi="Arial" w:cs="Arial"/>
                <w:color w:val="000000"/>
                <w:sz w:val="22"/>
                <w:szCs w:val="22"/>
              </w:rPr>
              <w:t xml:space="preserve">, undocumented and mixed–status families, the poor and homeless individuals were identified as needing increased access to health care. Despite greater access to insurance through Covered California and the Medi-Cal expansion, many working class families find the cost of health insurance, copays and medication unaffordable to them. </w:t>
            </w:r>
          </w:p>
          <w:p w:rsidR="00B26DA4" w:rsidRPr="00B26DA4" w:rsidRDefault="00B26DA4" w:rsidP="008940C2">
            <w:pPr>
              <w:spacing w:after="0" w:line="240" w:lineRule="auto"/>
              <w:rPr>
                <w:rFonts w:ascii="Arial" w:eastAsia="Arial" w:hAnsi="Arial" w:cs="Arial"/>
                <w:color w:val="000000"/>
                <w:sz w:val="22"/>
                <w:szCs w:val="22"/>
              </w:rPr>
            </w:pPr>
          </w:p>
          <w:p w:rsidR="00B26DA4" w:rsidRPr="00B26DA4" w:rsidRDefault="00B26DA4" w:rsidP="008940C2">
            <w:pPr>
              <w:widowControl/>
              <w:numPr>
                <w:ilvl w:val="0"/>
                <w:numId w:val="36"/>
              </w:numPr>
              <w:spacing w:after="0" w:line="240" w:lineRule="auto"/>
              <w:rPr>
                <w:rFonts w:ascii="Arial" w:eastAsia="Arial" w:hAnsi="Arial" w:cs="Arial"/>
                <w:color w:val="000000"/>
                <w:sz w:val="22"/>
                <w:szCs w:val="22"/>
              </w:rPr>
            </w:pPr>
            <w:r w:rsidRPr="00B26DA4">
              <w:rPr>
                <w:rFonts w:ascii="Arial" w:eastAsia="Arial" w:hAnsi="Arial" w:cs="Arial"/>
                <w:color w:val="000000"/>
                <w:sz w:val="22"/>
                <w:szCs w:val="22"/>
              </w:rPr>
              <w:t>“Some do not sign up under affordable care [act], as bad as that may be. They are saying that it’s too much for them, they don’t get paid enough to afford healthcare.”-Interviewee</w:t>
            </w:r>
          </w:p>
          <w:p w:rsidR="00B26DA4" w:rsidRPr="00B26DA4" w:rsidRDefault="00B26DA4" w:rsidP="008940C2">
            <w:pPr>
              <w:spacing w:after="0" w:line="240" w:lineRule="auto"/>
              <w:rPr>
                <w:rFonts w:ascii="Arial" w:eastAsia="Arial" w:hAnsi="Arial" w:cs="Arial"/>
                <w:color w:val="000000"/>
                <w:sz w:val="22"/>
                <w:szCs w:val="22"/>
              </w:rPr>
            </w:pPr>
          </w:p>
        </w:tc>
      </w:tr>
      <w:tr w:rsidR="00B26DA4" w:rsidRPr="00B26DA4" w:rsidTr="00C542D4">
        <w:trPr>
          <w:gridAfter w:val="1"/>
          <w:wAfter w:w="13" w:type="pct"/>
          <w:trHeight w:val="4670"/>
        </w:trPr>
        <w:tc>
          <w:tcPr>
            <w:tcW w:w="4987" w:type="pct"/>
            <w:gridSpan w:val="3"/>
            <w:tcBorders>
              <w:top w:val="nil"/>
              <w:left w:val="nil"/>
              <w:bottom w:val="nil"/>
              <w:right w:val="nil"/>
            </w:tcBorders>
            <w:tcMar>
              <w:top w:w="100" w:type="dxa"/>
              <w:left w:w="100" w:type="dxa"/>
              <w:bottom w:w="100" w:type="dxa"/>
              <w:right w:w="100" w:type="dxa"/>
            </w:tcMar>
          </w:tcPr>
          <w:tbl>
            <w:tblPr>
              <w:tblW w:w="9993" w:type="dxa"/>
              <w:tblLook w:val="0600" w:firstRow="0" w:lastRow="0" w:firstColumn="0" w:lastColumn="0" w:noHBand="1" w:noVBand="1"/>
            </w:tblPr>
            <w:tblGrid>
              <w:gridCol w:w="1128"/>
              <w:gridCol w:w="8865"/>
            </w:tblGrid>
            <w:tr w:rsidR="00B26DA4" w:rsidRPr="00B26DA4" w:rsidTr="008940C2">
              <w:trPr>
                <w:trHeight w:val="718"/>
              </w:trPr>
              <w:tc>
                <w:tcPr>
                  <w:tcW w:w="1128" w:type="dxa"/>
                  <w:tcMar>
                    <w:left w:w="0" w:type="dxa"/>
                    <w:right w:w="0" w:type="dxa"/>
                  </w:tcMar>
                </w:tcPr>
                <w:p w:rsidR="00B26DA4" w:rsidRPr="00B26DA4" w:rsidRDefault="00B26DA4" w:rsidP="008940C2">
                  <w:pPr>
                    <w:framePr w:hSpace="180" w:wrap="around" w:vAnchor="text" w:hAnchor="margin" w:y="-274"/>
                    <w:spacing w:after="0" w:line="240" w:lineRule="auto"/>
                    <w:ind w:left="-15" w:right="-15" w:hanging="15"/>
                    <w:jc w:val="both"/>
                    <w:rPr>
                      <w:rFonts w:ascii="Arial" w:eastAsia="Arial" w:hAnsi="Arial" w:cs="Arial"/>
                      <w:b/>
                      <w:color w:val="000000"/>
                      <w:sz w:val="22"/>
                      <w:szCs w:val="22"/>
                    </w:rPr>
                  </w:pPr>
                  <w:r w:rsidRPr="00B26DA4">
                    <w:rPr>
                      <w:rFonts w:ascii="Arial" w:eastAsia="Arial" w:hAnsi="Arial" w:cs="Arial"/>
                      <w:b/>
                      <w:noProof/>
                      <w:color w:val="000000"/>
                      <w:sz w:val="22"/>
                      <w:szCs w:val="22"/>
                    </w:rPr>
                    <w:drawing>
                      <wp:inline distT="114300" distB="114300" distL="114300" distR="114300" wp14:anchorId="7A3F5669" wp14:editId="6AE2ECB5">
                        <wp:extent cx="420767" cy="380047"/>
                        <wp:effectExtent l="0" t="0" r="0" b="0"/>
                        <wp:docPr id="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420767" cy="380047"/>
                                </a:xfrm>
                                <a:prstGeom prst="rect">
                                  <a:avLst/>
                                </a:prstGeom>
                                <a:ln/>
                              </pic:spPr>
                            </pic:pic>
                          </a:graphicData>
                        </a:graphic>
                      </wp:inline>
                    </w:drawing>
                  </w:r>
                </w:p>
              </w:tc>
              <w:tc>
                <w:tcPr>
                  <w:tcW w:w="8865" w:type="dxa"/>
                  <w:tcMar>
                    <w:left w:w="0" w:type="dxa"/>
                    <w:right w:w="0" w:type="dxa"/>
                  </w:tcMar>
                </w:tcPr>
                <w:p w:rsidR="00B26DA4" w:rsidRPr="00B26DA4" w:rsidRDefault="00B26DA4" w:rsidP="008940C2">
                  <w:pPr>
                    <w:framePr w:hSpace="180" w:wrap="around" w:vAnchor="text" w:hAnchor="margin" w:y="-274"/>
                    <w:spacing w:after="0" w:line="240" w:lineRule="auto"/>
                    <w:rPr>
                      <w:rFonts w:ascii="Arial" w:eastAsia="Arial" w:hAnsi="Arial" w:cs="Arial"/>
                      <w:color w:val="000000"/>
                      <w:sz w:val="22"/>
                      <w:szCs w:val="22"/>
                    </w:rPr>
                  </w:pPr>
                  <w:r w:rsidRPr="00B26DA4">
                    <w:rPr>
                      <w:rFonts w:ascii="Arial" w:eastAsia="Arial" w:hAnsi="Arial" w:cs="Arial"/>
                      <w:color w:val="000000"/>
                      <w:sz w:val="22"/>
                      <w:szCs w:val="22"/>
                    </w:rPr>
                    <w:t xml:space="preserve">Native Hawaiian/Pacific Islanders, Hispanic/Latino, and Native American/Alaskan Natives are more likely to be uninsured than other individuals in the KFH-Fontana Medical Center Service Area. </w:t>
                  </w:r>
                </w:p>
                <w:p w:rsidR="00B26DA4" w:rsidRPr="00B26DA4" w:rsidRDefault="00B26DA4" w:rsidP="008940C2">
                  <w:pPr>
                    <w:framePr w:hSpace="180" w:wrap="around" w:vAnchor="text" w:hAnchor="margin" w:y="-274"/>
                    <w:spacing w:after="0" w:line="240" w:lineRule="auto"/>
                    <w:rPr>
                      <w:rFonts w:ascii="Arial" w:eastAsia="Arial" w:hAnsi="Arial" w:cs="Arial"/>
                      <w:color w:val="000000"/>
                      <w:sz w:val="22"/>
                      <w:szCs w:val="22"/>
                    </w:rPr>
                  </w:pPr>
                </w:p>
                <w:p w:rsidR="00B26DA4" w:rsidRPr="00B26DA4" w:rsidRDefault="00B26DA4" w:rsidP="008940C2">
                  <w:pPr>
                    <w:framePr w:hSpace="180" w:wrap="around" w:vAnchor="text" w:hAnchor="margin" w:y="-274"/>
                    <w:spacing w:after="0" w:line="240" w:lineRule="auto"/>
                    <w:rPr>
                      <w:rFonts w:ascii="Arial" w:eastAsia="Arial" w:hAnsi="Arial" w:cs="Arial"/>
                      <w:b/>
                      <w:color w:val="000000"/>
                      <w:sz w:val="22"/>
                      <w:szCs w:val="22"/>
                    </w:rPr>
                  </w:pPr>
                  <w:r w:rsidRPr="00B26DA4">
                    <w:rPr>
                      <w:rFonts w:ascii="Arial" w:eastAsia="Arial" w:hAnsi="Arial" w:cs="Arial"/>
                      <w:b/>
                      <w:color w:val="000000"/>
                      <w:sz w:val="22"/>
                      <w:szCs w:val="22"/>
                    </w:rPr>
                    <w:t>Uninsured Population, Age-Adjusted Rate (Per 100,000 Population) by Race/Ethnicity</w:t>
                  </w:r>
                </w:p>
              </w:tc>
            </w:tr>
            <w:tr w:rsidR="00B26DA4" w:rsidRPr="00B26DA4" w:rsidTr="008940C2">
              <w:trPr>
                <w:trHeight w:val="400"/>
              </w:trPr>
              <w:tc>
                <w:tcPr>
                  <w:tcW w:w="9992" w:type="dxa"/>
                  <w:gridSpan w:val="2"/>
                  <w:tcMar>
                    <w:left w:w="0" w:type="dxa"/>
                    <w:right w:w="0" w:type="dxa"/>
                  </w:tcMar>
                </w:tcPr>
                <w:tbl>
                  <w:tblPr>
                    <w:tblStyle w:val="LightList11"/>
                    <w:tblW w:w="9614" w:type="dxa"/>
                    <w:tblLook w:val="04A0" w:firstRow="1" w:lastRow="0" w:firstColumn="1" w:lastColumn="0" w:noHBand="0" w:noVBand="1"/>
                  </w:tblPr>
                  <w:tblGrid>
                    <w:gridCol w:w="1280"/>
                    <w:gridCol w:w="1186"/>
                    <w:gridCol w:w="840"/>
                    <w:gridCol w:w="235"/>
                    <w:gridCol w:w="665"/>
                    <w:gridCol w:w="315"/>
                    <w:gridCol w:w="1187"/>
                    <w:gridCol w:w="188"/>
                    <w:gridCol w:w="1263"/>
                    <w:gridCol w:w="1022"/>
                    <w:gridCol w:w="1433"/>
                  </w:tblGrid>
                  <w:tr w:rsidR="00B26DA4" w:rsidRPr="00B26DA4" w:rsidTr="008940C2">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292" w:type="dxa"/>
                      </w:tcPr>
                      <w:p w:rsidR="00B26DA4" w:rsidRPr="00B26DA4" w:rsidRDefault="00B26DA4" w:rsidP="008940C2">
                        <w:pPr>
                          <w:framePr w:hSpace="180" w:wrap="around" w:vAnchor="text" w:hAnchor="margin" w:y="-274"/>
                          <w:widowControl/>
                          <w:spacing w:after="0" w:line="240" w:lineRule="auto"/>
                          <w:rPr>
                            <w:rFonts w:ascii="Arial" w:hAnsi="Arial" w:cs="Arial"/>
                            <w:sz w:val="22"/>
                            <w:szCs w:val="22"/>
                          </w:rPr>
                        </w:pPr>
                      </w:p>
                    </w:tc>
                    <w:tc>
                      <w:tcPr>
                        <w:tcW w:w="1221" w:type="dxa"/>
                      </w:tcPr>
                      <w:p w:rsidR="00B26DA4" w:rsidRPr="003302C9" w:rsidRDefault="00B26DA4" w:rsidP="008940C2">
                        <w:pPr>
                          <w:framePr w:hSpace="180" w:wrap="around" w:vAnchor="text" w:hAnchor="margin" w:y="-274"/>
                          <w:widowControl/>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3302C9">
                          <w:rPr>
                            <w:rFonts w:ascii="Arial" w:hAnsi="Arial" w:cs="Arial"/>
                            <w:sz w:val="20"/>
                            <w:szCs w:val="22"/>
                          </w:rPr>
                          <w:t>Non-Hispanic White</w:t>
                        </w:r>
                      </w:p>
                    </w:tc>
                    <w:tc>
                      <w:tcPr>
                        <w:tcW w:w="987" w:type="dxa"/>
                        <w:gridSpan w:val="2"/>
                      </w:tcPr>
                      <w:p w:rsidR="00B26DA4" w:rsidRPr="003302C9" w:rsidRDefault="00B26DA4" w:rsidP="008940C2">
                        <w:pPr>
                          <w:framePr w:hSpace="180" w:wrap="around" w:vAnchor="text" w:hAnchor="margin" w:y="-274"/>
                          <w:widowControl/>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3302C9">
                          <w:rPr>
                            <w:rFonts w:ascii="Arial" w:hAnsi="Arial" w:cs="Arial"/>
                            <w:sz w:val="20"/>
                            <w:szCs w:val="22"/>
                          </w:rPr>
                          <w:t>Black</w:t>
                        </w:r>
                      </w:p>
                    </w:tc>
                    <w:tc>
                      <w:tcPr>
                        <w:tcW w:w="810" w:type="dxa"/>
                        <w:gridSpan w:val="2"/>
                      </w:tcPr>
                      <w:p w:rsidR="00B26DA4" w:rsidRPr="003302C9" w:rsidRDefault="00B26DA4" w:rsidP="008940C2">
                        <w:pPr>
                          <w:framePr w:hSpace="180" w:wrap="around" w:vAnchor="text" w:hAnchor="margin" w:y="-274"/>
                          <w:widowControl/>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3302C9">
                          <w:rPr>
                            <w:rFonts w:ascii="Arial" w:hAnsi="Arial" w:cs="Arial"/>
                            <w:sz w:val="20"/>
                            <w:szCs w:val="22"/>
                          </w:rPr>
                          <w:t>Asian</w:t>
                        </w:r>
                      </w:p>
                    </w:tc>
                    <w:tc>
                      <w:tcPr>
                        <w:tcW w:w="1440" w:type="dxa"/>
                        <w:gridSpan w:val="2"/>
                      </w:tcPr>
                      <w:p w:rsidR="00B26DA4" w:rsidRPr="003302C9" w:rsidRDefault="00B26DA4" w:rsidP="008940C2">
                        <w:pPr>
                          <w:framePr w:hSpace="180" w:wrap="around" w:vAnchor="text" w:hAnchor="margin" w:y="-274"/>
                          <w:widowControl/>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3302C9">
                          <w:rPr>
                            <w:rFonts w:ascii="Arial" w:hAnsi="Arial" w:cs="Arial"/>
                            <w:sz w:val="20"/>
                            <w:szCs w:val="22"/>
                          </w:rPr>
                          <w:t>Native American / Alaskan Native</w:t>
                        </w:r>
                      </w:p>
                    </w:tc>
                    <w:tc>
                      <w:tcPr>
                        <w:tcW w:w="1310" w:type="dxa"/>
                      </w:tcPr>
                      <w:p w:rsidR="00B26DA4" w:rsidRPr="003302C9" w:rsidRDefault="00B26DA4" w:rsidP="008940C2">
                        <w:pPr>
                          <w:framePr w:hSpace="180" w:wrap="around" w:vAnchor="text" w:hAnchor="margin" w:y="-274"/>
                          <w:widowControl/>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3302C9">
                          <w:rPr>
                            <w:rFonts w:ascii="Arial" w:hAnsi="Arial" w:cs="Arial"/>
                            <w:sz w:val="20"/>
                            <w:szCs w:val="22"/>
                          </w:rPr>
                          <w:t>Native Hawaiian / Pacific Islander</w:t>
                        </w:r>
                      </w:p>
                    </w:tc>
                    <w:tc>
                      <w:tcPr>
                        <w:tcW w:w="1035" w:type="dxa"/>
                      </w:tcPr>
                      <w:p w:rsidR="00B26DA4" w:rsidRPr="003302C9" w:rsidRDefault="00B26DA4" w:rsidP="008940C2">
                        <w:pPr>
                          <w:framePr w:hSpace="180" w:wrap="around" w:vAnchor="text" w:hAnchor="margin" w:y="-274"/>
                          <w:widowControl/>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3302C9">
                          <w:rPr>
                            <w:rFonts w:ascii="Arial" w:hAnsi="Arial" w:cs="Arial"/>
                            <w:sz w:val="20"/>
                            <w:szCs w:val="22"/>
                          </w:rPr>
                          <w:t>Multiple Race</w:t>
                        </w:r>
                      </w:p>
                    </w:tc>
                    <w:tc>
                      <w:tcPr>
                        <w:tcW w:w="1519" w:type="dxa"/>
                      </w:tcPr>
                      <w:p w:rsidR="00B26DA4" w:rsidRPr="003302C9" w:rsidRDefault="00B26DA4" w:rsidP="008940C2">
                        <w:pPr>
                          <w:framePr w:hSpace="180" w:wrap="around" w:vAnchor="text" w:hAnchor="margin" w:y="-274"/>
                          <w:widowControl/>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3302C9">
                          <w:rPr>
                            <w:rFonts w:ascii="Arial" w:hAnsi="Arial" w:cs="Arial"/>
                            <w:sz w:val="20"/>
                            <w:szCs w:val="22"/>
                          </w:rPr>
                          <w:t>Hispanic/ Latino</w:t>
                        </w:r>
                      </w:p>
                    </w:tc>
                  </w:tr>
                  <w:tr w:rsidR="00B26DA4" w:rsidRPr="00B26DA4" w:rsidTr="008940C2">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292" w:type="dxa"/>
                      </w:tcPr>
                      <w:p w:rsidR="00B26DA4" w:rsidRPr="00B26DA4" w:rsidRDefault="00B26DA4" w:rsidP="008940C2">
                        <w:pPr>
                          <w:framePr w:hSpace="180" w:wrap="around" w:vAnchor="text" w:hAnchor="margin" w:y="-274"/>
                          <w:widowControl/>
                          <w:spacing w:after="0" w:line="240" w:lineRule="auto"/>
                          <w:rPr>
                            <w:rFonts w:ascii="Arial" w:hAnsi="Arial" w:cs="Arial"/>
                            <w:sz w:val="22"/>
                            <w:szCs w:val="22"/>
                          </w:rPr>
                        </w:pPr>
                        <w:r w:rsidRPr="00B26DA4">
                          <w:rPr>
                            <w:rFonts w:ascii="Arial" w:hAnsi="Arial" w:cs="Arial"/>
                            <w:sz w:val="22"/>
                            <w:szCs w:val="22"/>
                          </w:rPr>
                          <w:t>KFH-Fontana MCSA</w:t>
                        </w:r>
                      </w:p>
                    </w:tc>
                    <w:tc>
                      <w:tcPr>
                        <w:tcW w:w="1221" w:type="dxa"/>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26DA4">
                          <w:rPr>
                            <w:rFonts w:ascii="Arial" w:hAnsi="Arial" w:cs="Arial"/>
                            <w:sz w:val="22"/>
                            <w:szCs w:val="22"/>
                          </w:rPr>
                          <w:t>12.6%</w:t>
                        </w:r>
                      </w:p>
                    </w:tc>
                    <w:tc>
                      <w:tcPr>
                        <w:tcW w:w="736" w:type="dxa"/>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26DA4">
                          <w:rPr>
                            <w:rFonts w:ascii="Arial" w:hAnsi="Arial" w:cs="Arial"/>
                            <w:sz w:val="22"/>
                            <w:szCs w:val="22"/>
                          </w:rPr>
                          <w:t>14.8%</w:t>
                        </w:r>
                      </w:p>
                    </w:tc>
                    <w:tc>
                      <w:tcPr>
                        <w:tcW w:w="736" w:type="dxa"/>
                        <w:gridSpan w:val="2"/>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26DA4">
                          <w:rPr>
                            <w:rFonts w:ascii="Arial" w:hAnsi="Arial" w:cs="Arial"/>
                            <w:sz w:val="22"/>
                            <w:szCs w:val="22"/>
                          </w:rPr>
                          <w:t>16.9%</w:t>
                        </w:r>
                      </w:p>
                    </w:tc>
                    <w:tc>
                      <w:tcPr>
                        <w:tcW w:w="1554" w:type="dxa"/>
                        <w:gridSpan w:val="2"/>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B26DA4">
                          <w:rPr>
                            <w:rFonts w:ascii="Arial" w:hAnsi="Arial" w:cs="Arial"/>
                            <w:color w:val="FF0000"/>
                            <w:sz w:val="22"/>
                            <w:szCs w:val="22"/>
                          </w:rPr>
                          <w:t>22.9%</w:t>
                        </w:r>
                      </w:p>
                    </w:tc>
                    <w:tc>
                      <w:tcPr>
                        <w:tcW w:w="1521" w:type="dxa"/>
                        <w:gridSpan w:val="2"/>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B26DA4">
                          <w:rPr>
                            <w:rFonts w:ascii="Arial" w:hAnsi="Arial" w:cs="Arial"/>
                            <w:color w:val="FF0000"/>
                            <w:sz w:val="22"/>
                            <w:szCs w:val="22"/>
                          </w:rPr>
                          <w:t>29.2%</w:t>
                        </w:r>
                      </w:p>
                    </w:tc>
                    <w:tc>
                      <w:tcPr>
                        <w:tcW w:w="1035" w:type="dxa"/>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26DA4">
                          <w:rPr>
                            <w:rFonts w:ascii="Arial" w:hAnsi="Arial" w:cs="Arial"/>
                            <w:sz w:val="22"/>
                            <w:szCs w:val="22"/>
                          </w:rPr>
                          <w:t>15.5%</w:t>
                        </w:r>
                      </w:p>
                    </w:tc>
                    <w:tc>
                      <w:tcPr>
                        <w:tcW w:w="1519" w:type="dxa"/>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B26DA4">
                          <w:rPr>
                            <w:rFonts w:ascii="Arial" w:hAnsi="Arial" w:cs="Arial"/>
                            <w:color w:val="FF0000"/>
                            <w:sz w:val="22"/>
                            <w:szCs w:val="22"/>
                          </w:rPr>
                          <w:t>26.0%</w:t>
                        </w:r>
                      </w:p>
                    </w:tc>
                  </w:tr>
                  <w:tr w:rsidR="00B26DA4" w:rsidRPr="00B26DA4" w:rsidTr="008940C2">
                    <w:trPr>
                      <w:trHeight w:val="130"/>
                    </w:trPr>
                    <w:tc>
                      <w:tcPr>
                        <w:cnfStyle w:val="001000000000" w:firstRow="0" w:lastRow="0" w:firstColumn="1" w:lastColumn="0" w:oddVBand="0" w:evenVBand="0" w:oddHBand="0" w:evenHBand="0" w:firstRowFirstColumn="0" w:firstRowLastColumn="0" w:lastRowFirstColumn="0" w:lastRowLastColumn="0"/>
                        <w:tcW w:w="1292" w:type="dxa"/>
                      </w:tcPr>
                      <w:p w:rsidR="00B26DA4" w:rsidRPr="00B26DA4" w:rsidRDefault="00B26DA4" w:rsidP="008940C2">
                        <w:pPr>
                          <w:framePr w:hSpace="180" w:wrap="around" w:vAnchor="text" w:hAnchor="margin" w:y="-274"/>
                          <w:widowControl/>
                          <w:spacing w:after="0" w:line="240" w:lineRule="auto"/>
                          <w:rPr>
                            <w:rFonts w:ascii="Arial" w:hAnsi="Arial" w:cs="Arial"/>
                            <w:sz w:val="22"/>
                            <w:szCs w:val="22"/>
                          </w:rPr>
                        </w:pPr>
                        <w:r w:rsidRPr="00B26DA4">
                          <w:rPr>
                            <w:rFonts w:ascii="Arial" w:hAnsi="Arial" w:cs="Arial"/>
                            <w:sz w:val="22"/>
                            <w:szCs w:val="22"/>
                          </w:rPr>
                          <w:t>KFH-Ontario MCSA</w:t>
                        </w:r>
                      </w:p>
                    </w:tc>
                    <w:tc>
                      <w:tcPr>
                        <w:tcW w:w="1221" w:type="dxa"/>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6DA4">
                          <w:rPr>
                            <w:rFonts w:ascii="Arial" w:hAnsi="Arial" w:cs="Arial"/>
                            <w:sz w:val="22"/>
                            <w:szCs w:val="22"/>
                          </w:rPr>
                          <w:t>9.9%</w:t>
                        </w:r>
                      </w:p>
                    </w:tc>
                    <w:tc>
                      <w:tcPr>
                        <w:tcW w:w="736" w:type="dxa"/>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6DA4">
                          <w:rPr>
                            <w:rFonts w:ascii="Arial" w:hAnsi="Arial" w:cs="Arial"/>
                            <w:sz w:val="22"/>
                            <w:szCs w:val="22"/>
                          </w:rPr>
                          <w:t>14.1%</w:t>
                        </w:r>
                      </w:p>
                    </w:tc>
                    <w:tc>
                      <w:tcPr>
                        <w:tcW w:w="736" w:type="dxa"/>
                        <w:gridSpan w:val="2"/>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6DA4">
                          <w:rPr>
                            <w:rFonts w:ascii="Arial" w:hAnsi="Arial" w:cs="Arial"/>
                            <w:sz w:val="22"/>
                            <w:szCs w:val="22"/>
                          </w:rPr>
                          <w:t>14.0%</w:t>
                        </w:r>
                      </w:p>
                    </w:tc>
                    <w:tc>
                      <w:tcPr>
                        <w:tcW w:w="1554" w:type="dxa"/>
                        <w:gridSpan w:val="2"/>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6DA4">
                          <w:rPr>
                            <w:rFonts w:ascii="Arial" w:hAnsi="Arial" w:cs="Arial"/>
                            <w:sz w:val="22"/>
                            <w:szCs w:val="22"/>
                          </w:rPr>
                          <w:t>18.4%</w:t>
                        </w:r>
                      </w:p>
                    </w:tc>
                    <w:tc>
                      <w:tcPr>
                        <w:tcW w:w="1521" w:type="dxa"/>
                        <w:gridSpan w:val="2"/>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6DA4">
                          <w:rPr>
                            <w:rFonts w:ascii="Arial" w:hAnsi="Arial" w:cs="Arial"/>
                            <w:sz w:val="22"/>
                            <w:szCs w:val="22"/>
                          </w:rPr>
                          <w:t>9.8%</w:t>
                        </w:r>
                      </w:p>
                    </w:tc>
                    <w:tc>
                      <w:tcPr>
                        <w:tcW w:w="1035" w:type="dxa"/>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6DA4">
                          <w:rPr>
                            <w:rFonts w:ascii="Arial" w:hAnsi="Arial" w:cs="Arial"/>
                            <w:sz w:val="22"/>
                            <w:szCs w:val="22"/>
                          </w:rPr>
                          <w:t>12.6%</w:t>
                        </w:r>
                      </w:p>
                    </w:tc>
                    <w:tc>
                      <w:tcPr>
                        <w:tcW w:w="1519" w:type="dxa"/>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B26DA4">
                          <w:rPr>
                            <w:rFonts w:ascii="Arial" w:hAnsi="Arial" w:cs="Arial"/>
                            <w:color w:val="FF0000"/>
                            <w:sz w:val="22"/>
                            <w:szCs w:val="22"/>
                          </w:rPr>
                          <w:t>23.8%</w:t>
                        </w:r>
                      </w:p>
                    </w:tc>
                  </w:tr>
                  <w:tr w:rsidR="00B26DA4" w:rsidRPr="00B26DA4" w:rsidTr="008940C2">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292" w:type="dxa"/>
                      </w:tcPr>
                      <w:p w:rsidR="00B26DA4" w:rsidRPr="00B26DA4" w:rsidRDefault="00B26DA4" w:rsidP="008940C2">
                        <w:pPr>
                          <w:framePr w:hSpace="180" w:wrap="around" w:vAnchor="text" w:hAnchor="margin" w:y="-274"/>
                          <w:widowControl/>
                          <w:spacing w:after="0" w:line="240" w:lineRule="auto"/>
                          <w:rPr>
                            <w:rFonts w:ascii="Arial" w:hAnsi="Arial" w:cs="Arial"/>
                            <w:sz w:val="22"/>
                            <w:szCs w:val="22"/>
                          </w:rPr>
                        </w:pPr>
                        <w:r w:rsidRPr="00B26DA4">
                          <w:rPr>
                            <w:rFonts w:ascii="Arial" w:hAnsi="Arial" w:cs="Arial"/>
                            <w:sz w:val="22"/>
                            <w:szCs w:val="22"/>
                          </w:rPr>
                          <w:t>S CA MCA</w:t>
                        </w:r>
                      </w:p>
                    </w:tc>
                    <w:tc>
                      <w:tcPr>
                        <w:tcW w:w="1221" w:type="dxa"/>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26DA4">
                          <w:rPr>
                            <w:rFonts w:ascii="Arial" w:hAnsi="Arial" w:cs="Arial"/>
                            <w:sz w:val="22"/>
                            <w:szCs w:val="22"/>
                          </w:rPr>
                          <w:t>10.2%</w:t>
                        </w:r>
                      </w:p>
                    </w:tc>
                    <w:tc>
                      <w:tcPr>
                        <w:tcW w:w="736" w:type="dxa"/>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26DA4">
                          <w:rPr>
                            <w:rFonts w:ascii="Arial" w:hAnsi="Arial" w:cs="Arial"/>
                            <w:sz w:val="22"/>
                            <w:szCs w:val="22"/>
                          </w:rPr>
                          <w:t>15.2%</w:t>
                        </w:r>
                      </w:p>
                    </w:tc>
                    <w:tc>
                      <w:tcPr>
                        <w:tcW w:w="736" w:type="dxa"/>
                        <w:gridSpan w:val="2"/>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26DA4">
                          <w:rPr>
                            <w:rFonts w:ascii="Arial" w:hAnsi="Arial" w:cs="Arial"/>
                            <w:sz w:val="22"/>
                            <w:szCs w:val="22"/>
                          </w:rPr>
                          <w:t>15.3%</w:t>
                        </w:r>
                      </w:p>
                    </w:tc>
                    <w:tc>
                      <w:tcPr>
                        <w:tcW w:w="1554" w:type="dxa"/>
                        <w:gridSpan w:val="2"/>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26DA4">
                          <w:rPr>
                            <w:rFonts w:ascii="Arial" w:hAnsi="Arial" w:cs="Arial"/>
                            <w:sz w:val="22"/>
                            <w:szCs w:val="22"/>
                          </w:rPr>
                          <w:t>25.0%</w:t>
                        </w:r>
                      </w:p>
                    </w:tc>
                    <w:tc>
                      <w:tcPr>
                        <w:tcW w:w="1521" w:type="dxa"/>
                        <w:gridSpan w:val="2"/>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26DA4">
                          <w:rPr>
                            <w:rFonts w:ascii="Arial" w:hAnsi="Arial" w:cs="Arial"/>
                            <w:sz w:val="22"/>
                            <w:szCs w:val="22"/>
                          </w:rPr>
                          <w:t>17.8%</w:t>
                        </w:r>
                      </w:p>
                    </w:tc>
                    <w:tc>
                      <w:tcPr>
                        <w:tcW w:w="1035" w:type="dxa"/>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26DA4">
                          <w:rPr>
                            <w:rFonts w:ascii="Arial" w:hAnsi="Arial" w:cs="Arial"/>
                            <w:sz w:val="22"/>
                            <w:szCs w:val="22"/>
                          </w:rPr>
                          <w:t>13.8%</w:t>
                        </w:r>
                      </w:p>
                    </w:tc>
                    <w:tc>
                      <w:tcPr>
                        <w:tcW w:w="1519" w:type="dxa"/>
                        <w:vAlign w:val="center"/>
                      </w:tcPr>
                      <w:p w:rsidR="00B26DA4" w:rsidRPr="00B26DA4" w:rsidRDefault="00B26DA4" w:rsidP="008940C2">
                        <w:pPr>
                          <w:framePr w:hSpace="180" w:wrap="around" w:vAnchor="text" w:hAnchor="margin" w:y="-274"/>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26DA4">
                          <w:rPr>
                            <w:rFonts w:ascii="Arial" w:hAnsi="Arial" w:cs="Arial"/>
                            <w:sz w:val="22"/>
                            <w:szCs w:val="22"/>
                          </w:rPr>
                          <w:t>27.6%</w:t>
                        </w:r>
                      </w:p>
                    </w:tc>
                  </w:tr>
                  <w:tr w:rsidR="00B26DA4" w:rsidRPr="00B26DA4" w:rsidTr="008940C2">
                    <w:trPr>
                      <w:trHeight w:val="130"/>
                    </w:trPr>
                    <w:tc>
                      <w:tcPr>
                        <w:cnfStyle w:val="001000000000" w:firstRow="0" w:lastRow="0" w:firstColumn="1" w:lastColumn="0" w:oddVBand="0" w:evenVBand="0" w:oddHBand="0" w:evenHBand="0" w:firstRowFirstColumn="0" w:firstRowLastColumn="0" w:lastRowFirstColumn="0" w:lastRowLastColumn="0"/>
                        <w:tcW w:w="1292" w:type="dxa"/>
                      </w:tcPr>
                      <w:p w:rsidR="00B26DA4" w:rsidRPr="00B26DA4" w:rsidRDefault="00B26DA4" w:rsidP="008940C2">
                        <w:pPr>
                          <w:framePr w:hSpace="180" w:wrap="around" w:vAnchor="text" w:hAnchor="margin" w:y="-274"/>
                          <w:widowControl/>
                          <w:spacing w:after="0" w:line="240" w:lineRule="auto"/>
                          <w:rPr>
                            <w:rFonts w:ascii="Arial" w:hAnsi="Arial" w:cs="Arial"/>
                            <w:sz w:val="22"/>
                            <w:szCs w:val="22"/>
                          </w:rPr>
                        </w:pPr>
                        <w:r w:rsidRPr="00B26DA4">
                          <w:rPr>
                            <w:rFonts w:ascii="Arial" w:hAnsi="Arial" w:cs="Arial"/>
                            <w:sz w:val="22"/>
                            <w:szCs w:val="22"/>
                          </w:rPr>
                          <w:t>California</w:t>
                        </w:r>
                      </w:p>
                    </w:tc>
                    <w:tc>
                      <w:tcPr>
                        <w:tcW w:w="1221" w:type="dxa"/>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6DA4">
                          <w:rPr>
                            <w:rFonts w:ascii="Arial" w:hAnsi="Arial" w:cs="Arial"/>
                            <w:sz w:val="22"/>
                            <w:szCs w:val="22"/>
                          </w:rPr>
                          <w:t>9.6%</w:t>
                        </w:r>
                      </w:p>
                    </w:tc>
                    <w:tc>
                      <w:tcPr>
                        <w:tcW w:w="736" w:type="dxa"/>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6DA4">
                          <w:rPr>
                            <w:rFonts w:ascii="Arial" w:hAnsi="Arial" w:cs="Arial"/>
                            <w:sz w:val="22"/>
                            <w:szCs w:val="22"/>
                          </w:rPr>
                          <w:t>14.2%</w:t>
                        </w:r>
                      </w:p>
                    </w:tc>
                    <w:tc>
                      <w:tcPr>
                        <w:tcW w:w="736" w:type="dxa"/>
                        <w:gridSpan w:val="2"/>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6DA4">
                          <w:rPr>
                            <w:rFonts w:ascii="Arial" w:hAnsi="Arial" w:cs="Arial"/>
                            <w:sz w:val="22"/>
                            <w:szCs w:val="22"/>
                          </w:rPr>
                          <w:t>13.1%</w:t>
                        </w:r>
                      </w:p>
                    </w:tc>
                    <w:tc>
                      <w:tcPr>
                        <w:tcW w:w="1554" w:type="dxa"/>
                        <w:gridSpan w:val="2"/>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6DA4">
                          <w:rPr>
                            <w:rFonts w:ascii="Arial" w:hAnsi="Arial" w:cs="Arial"/>
                            <w:sz w:val="22"/>
                            <w:szCs w:val="22"/>
                          </w:rPr>
                          <w:t>23.1%</w:t>
                        </w:r>
                      </w:p>
                    </w:tc>
                    <w:tc>
                      <w:tcPr>
                        <w:tcW w:w="1521" w:type="dxa"/>
                        <w:gridSpan w:val="2"/>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6DA4">
                          <w:rPr>
                            <w:rFonts w:ascii="Arial" w:hAnsi="Arial" w:cs="Arial"/>
                            <w:sz w:val="22"/>
                            <w:szCs w:val="22"/>
                          </w:rPr>
                          <w:t>18.2%</w:t>
                        </w:r>
                      </w:p>
                    </w:tc>
                    <w:tc>
                      <w:tcPr>
                        <w:tcW w:w="1035" w:type="dxa"/>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6DA4">
                          <w:rPr>
                            <w:rFonts w:ascii="Arial" w:hAnsi="Arial" w:cs="Arial"/>
                            <w:sz w:val="22"/>
                            <w:szCs w:val="22"/>
                          </w:rPr>
                          <w:t>12.6%</w:t>
                        </w:r>
                      </w:p>
                    </w:tc>
                    <w:tc>
                      <w:tcPr>
                        <w:tcW w:w="1519" w:type="dxa"/>
                        <w:vAlign w:val="center"/>
                      </w:tcPr>
                      <w:p w:rsidR="00B26DA4" w:rsidRPr="00B26DA4" w:rsidRDefault="00B26DA4" w:rsidP="008940C2">
                        <w:pPr>
                          <w:framePr w:hSpace="180" w:wrap="around" w:vAnchor="text" w:hAnchor="margin" w:y="-274"/>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6DA4">
                          <w:rPr>
                            <w:rFonts w:ascii="Arial" w:hAnsi="Arial" w:cs="Arial"/>
                            <w:sz w:val="22"/>
                            <w:szCs w:val="22"/>
                          </w:rPr>
                          <w:t>25.9%</w:t>
                        </w:r>
                      </w:p>
                    </w:tc>
                  </w:tr>
                </w:tbl>
                <w:p w:rsidR="00B26DA4" w:rsidRPr="00B26DA4" w:rsidRDefault="00B26DA4" w:rsidP="008940C2">
                  <w:pPr>
                    <w:framePr w:hSpace="180" w:wrap="around" w:vAnchor="text" w:hAnchor="margin" w:y="-274"/>
                    <w:spacing w:after="0" w:line="240" w:lineRule="auto"/>
                    <w:rPr>
                      <w:rFonts w:ascii="Arial" w:eastAsia="Arial" w:hAnsi="Arial" w:cs="Arial"/>
                      <w:i/>
                      <w:color w:val="737373"/>
                      <w:sz w:val="18"/>
                      <w:szCs w:val="18"/>
                    </w:rPr>
                  </w:pPr>
                  <w:r w:rsidRPr="00B26DA4">
                    <w:rPr>
                      <w:rFonts w:ascii="Arial" w:eastAsia="Arial" w:hAnsi="Arial" w:cs="Arial"/>
                      <w:i/>
                      <w:color w:val="737373"/>
                      <w:sz w:val="18"/>
                      <w:szCs w:val="18"/>
                    </w:rPr>
                    <w:t>Source: US Census Bureau, American Community Survey. 2010-14.</w:t>
                  </w:r>
                </w:p>
              </w:tc>
            </w:tr>
          </w:tbl>
          <w:p w:rsidR="00B26DA4" w:rsidRPr="00B26DA4" w:rsidRDefault="00B26DA4" w:rsidP="008940C2">
            <w:pPr>
              <w:spacing w:after="0" w:line="240" w:lineRule="auto"/>
              <w:rPr>
                <w:rFonts w:ascii="Arial" w:eastAsia="Arial" w:hAnsi="Arial" w:cs="Arial"/>
                <w:b/>
                <w:color w:val="000000"/>
                <w:sz w:val="22"/>
                <w:szCs w:val="22"/>
              </w:rPr>
            </w:pPr>
          </w:p>
        </w:tc>
      </w:tr>
      <w:tr w:rsidR="00B26DA4" w:rsidRPr="00B26DA4" w:rsidTr="00C542D4">
        <w:trPr>
          <w:trHeight w:val="461"/>
        </w:trPr>
        <w:tc>
          <w:tcPr>
            <w:tcW w:w="5000" w:type="pct"/>
            <w:gridSpan w:val="4"/>
            <w:tcBorders>
              <w:top w:val="nil"/>
              <w:left w:val="nil"/>
              <w:bottom w:val="nil"/>
              <w:right w:val="nil"/>
            </w:tcBorders>
            <w:shd w:val="clear" w:color="auto" w:fill="006D9D"/>
            <w:tcMar>
              <w:top w:w="57" w:type="dxa"/>
              <w:left w:w="57" w:type="dxa"/>
              <w:bottom w:w="57" w:type="dxa"/>
              <w:right w:w="57" w:type="dxa"/>
            </w:tcMar>
          </w:tcPr>
          <w:p w:rsidR="00B26DA4" w:rsidRPr="00B26DA4" w:rsidRDefault="00B26DA4" w:rsidP="008940C2">
            <w:pPr>
              <w:spacing w:before="60" w:after="0" w:line="240" w:lineRule="auto"/>
              <w:rPr>
                <w:rFonts w:ascii="Arial" w:eastAsia="Arial" w:hAnsi="Arial" w:cs="Arial"/>
                <w:color w:val="000000"/>
                <w:sz w:val="22"/>
                <w:szCs w:val="22"/>
              </w:rPr>
            </w:pPr>
            <w:r w:rsidRPr="00B26DA4">
              <w:rPr>
                <w:rFonts w:ascii="Arial" w:eastAsia="Arial" w:hAnsi="Arial" w:cs="Arial"/>
                <w:b/>
                <w:color w:val="FFFFFF"/>
                <w:sz w:val="32"/>
                <w:szCs w:val="32"/>
              </w:rPr>
              <w:t>Assets &amp; Opportunities</w:t>
            </w:r>
          </w:p>
        </w:tc>
      </w:tr>
      <w:tr w:rsidR="00B26DA4" w:rsidRPr="00B26DA4" w:rsidTr="00C542D4">
        <w:trPr>
          <w:trHeight w:val="1189"/>
        </w:trPr>
        <w:tc>
          <w:tcPr>
            <w:tcW w:w="5000" w:type="pct"/>
            <w:gridSpan w:val="4"/>
            <w:tcBorders>
              <w:top w:val="nil"/>
              <w:left w:val="nil"/>
              <w:bottom w:val="nil"/>
              <w:right w:val="nil"/>
            </w:tcBorders>
            <w:shd w:val="clear" w:color="auto" w:fill="D9D9D9" w:themeFill="background1" w:themeFillShade="D9"/>
          </w:tcPr>
          <w:p w:rsidR="00B26DA4" w:rsidRPr="00B26DA4" w:rsidRDefault="00B26DA4" w:rsidP="008940C2">
            <w:pPr>
              <w:spacing w:after="0" w:line="240" w:lineRule="auto"/>
              <w:rPr>
                <w:rFonts w:ascii="Arial" w:eastAsia="Arial" w:hAnsi="Arial" w:cs="Arial"/>
                <w:b/>
                <w:color w:val="000000"/>
                <w:sz w:val="22"/>
                <w:szCs w:val="22"/>
              </w:rPr>
            </w:pPr>
            <w:r w:rsidRPr="00B26DA4">
              <w:rPr>
                <w:rFonts w:ascii="Arial" w:eastAsia="Arial" w:hAnsi="Arial" w:cs="Arial"/>
                <w:b/>
                <w:noProof/>
                <w:color w:val="000000"/>
                <w:sz w:val="22"/>
                <w:szCs w:val="22"/>
              </w:rPr>
              <w:drawing>
                <wp:anchor distT="0" distB="0" distL="114300" distR="114300" simplePos="0" relativeHeight="251663360" behindDoc="0" locked="0" layoutInCell="1" allowOverlap="1" wp14:anchorId="5E539E67" wp14:editId="48F0BF71">
                  <wp:simplePos x="0" y="0"/>
                  <wp:positionH relativeFrom="column">
                    <wp:posOffset>55245</wp:posOffset>
                  </wp:positionH>
                  <wp:positionV relativeFrom="paragraph">
                    <wp:posOffset>42545</wp:posOffset>
                  </wp:positionV>
                  <wp:extent cx="541655" cy="541655"/>
                  <wp:effectExtent l="0" t="0" r="0" b="0"/>
                  <wp:wrapSquare wrapText="bothSides"/>
                  <wp:docPr id="2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541655" cy="541655"/>
                          </a:xfrm>
                          <a:prstGeom prst="rect">
                            <a:avLst/>
                          </a:prstGeom>
                          <a:ln/>
                        </pic:spPr>
                      </pic:pic>
                    </a:graphicData>
                  </a:graphic>
                  <wp14:sizeRelH relativeFrom="page">
                    <wp14:pctWidth>0</wp14:pctWidth>
                  </wp14:sizeRelH>
                  <wp14:sizeRelV relativeFrom="page">
                    <wp14:pctHeight>0</wp14:pctHeight>
                  </wp14:sizeRelV>
                </wp:anchor>
              </w:drawing>
            </w:r>
            <w:r w:rsidRPr="00B26DA4">
              <w:rPr>
                <w:rFonts w:ascii="Arial" w:eastAsia="Arial" w:hAnsi="Arial" w:cs="Arial"/>
                <w:b/>
                <w:color w:val="000000"/>
                <w:sz w:val="22"/>
                <w:szCs w:val="22"/>
              </w:rPr>
              <w:t>Community Description of the Health Need</w:t>
            </w:r>
          </w:p>
          <w:p w:rsidR="00B26DA4" w:rsidRPr="00B26DA4" w:rsidRDefault="00B26DA4" w:rsidP="008940C2">
            <w:pPr>
              <w:spacing w:after="0" w:line="240" w:lineRule="auto"/>
              <w:rPr>
                <w:rFonts w:ascii="Arial" w:eastAsia="Arial" w:hAnsi="Arial" w:cs="Arial"/>
                <w:b/>
                <w:color w:val="000000"/>
                <w:sz w:val="22"/>
                <w:szCs w:val="22"/>
              </w:rPr>
            </w:pPr>
          </w:p>
          <w:p w:rsidR="00B26DA4" w:rsidRPr="00B26DA4" w:rsidRDefault="00B26DA4" w:rsidP="008940C2">
            <w:pPr>
              <w:widowControl/>
              <w:spacing w:after="0" w:line="240" w:lineRule="auto"/>
              <w:ind w:left="720"/>
              <w:contextualSpacing/>
              <w:rPr>
                <w:rFonts w:ascii="Arial" w:eastAsia="Times New Roman" w:hAnsi="Arial" w:cs="Arial"/>
                <w:sz w:val="22"/>
                <w:szCs w:val="22"/>
              </w:rPr>
            </w:pPr>
            <w:r w:rsidRPr="00B26DA4">
              <w:rPr>
                <w:rFonts w:ascii="Arial" w:eastAsia="Times New Roman" w:hAnsi="Arial" w:cs="Arial"/>
                <w:sz w:val="22"/>
                <w:szCs w:val="22"/>
              </w:rPr>
              <w:t xml:space="preserve">While more people than ever have health insurance, getting timely access to healthcare when its needed is challenging due to increased demand on the system in urban areas and the lack of providers in more outlying regions, such as the Mountains and High Desert communities. </w:t>
            </w:r>
          </w:p>
          <w:p w:rsidR="00B26DA4" w:rsidRPr="00B26DA4" w:rsidRDefault="00B26DA4" w:rsidP="008940C2">
            <w:pPr>
              <w:widowControl/>
              <w:spacing w:after="0" w:line="240" w:lineRule="auto"/>
              <w:ind w:left="720"/>
              <w:contextualSpacing/>
              <w:rPr>
                <w:rFonts w:ascii="Arial" w:eastAsia="Times New Roman" w:hAnsi="Arial" w:cs="Arial"/>
                <w:sz w:val="22"/>
                <w:szCs w:val="22"/>
              </w:rPr>
            </w:pPr>
          </w:p>
          <w:p w:rsidR="00B26DA4" w:rsidRPr="00B26DA4" w:rsidRDefault="00B26DA4" w:rsidP="008940C2">
            <w:pPr>
              <w:widowControl/>
              <w:numPr>
                <w:ilvl w:val="0"/>
                <w:numId w:val="36"/>
              </w:numPr>
              <w:spacing w:after="0" w:line="240" w:lineRule="auto"/>
              <w:contextualSpacing/>
              <w:rPr>
                <w:rFonts w:ascii="Arial" w:eastAsia="Times New Roman" w:hAnsi="Arial" w:cs="Arial"/>
                <w:sz w:val="22"/>
                <w:szCs w:val="22"/>
              </w:rPr>
            </w:pPr>
            <w:r w:rsidRPr="00B26DA4">
              <w:rPr>
                <w:rFonts w:ascii="Arial" w:eastAsia="Times New Roman" w:hAnsi="Arial" w:cs="Arial"/>
                <w:sz w:val="22"/>
                <w:szCs w:val="22"/>
              </w:rPr>
              <w:t>“We already were under-doctored, under healthcare practitioner-ed before the Affordable Care Act. Now with the ACA, I mean it was almost instantaneous that you added 500,000 to the roles. It is this capacity issue that the region is trying to deal with.” ~Interviewee</w:t>
            </w:r>
          </w:p>
        </w:tc>
      </w:tr>
      <w:tr w:rsidR="00B26DA4" w:rsidRPr="00B26DA4" w:rsidTr="00C542D4">
        <w:trPr>
          <w:trHeight w:val="339"/>
        </w:trPr>
        <w:tc>
          <w:tcPr>
            <w:tcW w:w="5000" w:type="pct"/>
            <w:gridSpan w:val="4"/>
            <w:tcBorders>
              <w:top w:val="nil"/>
              <w:left w:val="nil"/>
              <w:bottom w:val="nil"/>
              <w:right w:val="nil"/>
            </w:tcBorders>
            <w:shd w:val="clear" w:color="auto" w:fill="D9D9D9" w:themeFill="background1" w:themeFillShade="D9"/>
          </w:tcPr>
          <w:p w:rsidR="00B26DA4" w:rsidRPr="00B26DA4" w:rsidRDefault="00B26DA4" w:rsidP="008940C2">
            <w:pPr>
              <w:spacing w:after="0" w:line="240" w:lineRule="auto"/>
              <w:rPr>
                <w:rFonts w:ascii="Arial" w:eastAsia="Arial" w:hAnsi="Arial" w:cs="Arial"/>
                <w:b/>
                <w:color w:val="000000"/>
                <w:sz w:val="22"/>
                <w:szCs w:val="22"/>
              </w:rPr>
            </w:pPr>
            <w:r w:rsidRPr="00B26DA4">
              <w:rPr>
                <w:rFonts w:ascii="Arial" w:eastAsia="Arial" w:hAnsi="Arial" w:cs="Arial"/>
                <w:b/>
                <w:color w:val="000000"/>
                <w:sz w:val="22"/>
                <w:szCs w:val="22"/>
              </w:rPr>
              <w:t>Resources</w:t>
            </w:r>
          </w:p>
          <w:p w:rsidR="00B26DA4" w:rsidRPr="00B26DA4" w:rsidRDefault="00B26DA4" w:rsidP="008940C2">
            <w:pPr>
              <w:spacing w:after="0" w:line="240" w:lineRule="auto"/>
              <w:rPr>
                <w:rFonts w:ascii="Arial" w:eastAsia="Arial" w:hAnsi="Arial" w:cs="Arial"/>
                <w:b/>
                <w:color w:val="000000"/>
                <w:sz w:val="22"/>
                <w:szCs w:val="22"/>
              </w:rPr>
            </w:pPr>
          </w:p>
          <w:p w:rsidR="00B26DA4" w:rsidRPr="00B26DA4" w:rsidRDefault="00B26DA4" w:rsidP="008940C2">
            <w:pPr>
              <w:spacing w:after="0" w:line="240" w:lineRule="auto"/>
              <w:rPr>
                <w:rFonts w:ascii="Arial" w:eastAsia="Arial" w:hAnsi="Arial" w:cs="Arial"/>
                <w:noProof/>
                <w:color w:val="000000"/>
                <w:sz w:val="22"/>
                <w:szCs w:val="22"/>
              </w:rPr>
            </w:pPr>
            <w:r w:rsidRPr="00B26DA4">
              <w:rPr>
                <w:rFonts w:ascii="Arial" w:eastAsia="Arial" w:hAnsi="Arial" w:cs="Arial"/>
                <w:color w:val="000000"/>
                <w:sz w:val="22"/>
                <w:szCs w:val="22"/>
              </w:rPr>
              <w:t>Community stakeholders identified the following organizations, programs and initiatives as important community resources for potentially addressing access to care during community forums:</w:t>
            </w:r>
          </w:p>
        </w:tc>
      </w:tr>
      <w:tr w:rsidR="00B26DA4" w:rsidRPr="00B26DA4" w:rsidTr="00C542D4">
        <w:trPr>
          <w:trHeight w:val="231"/>
        </w:trPr>
        <w:tc>
          <w:tcPr>
            <w:tcW w:w="2672" w:type="pct"/>
            <w:gridSpan w:val="2"/>
            <w:tcBorders>
              <w:top w:val="nil"/>
              <w:left w:val="nil"/>
              <w:bottom w:val="nil"/>
              <w:right w:val="nil"/>
            </w:tcBorders>
            <w:shd w:val="clear" w:color="auto" w:fill="D9D9D9" w:themeFill="background1" w:themeFillShade="D9"/>
          </w:tcPr>
          <w:p w:rsidR="00B26DA4" w:rsidRPr="00B26DA4" w:rsidRDefault="00B26DA4" w:rsidP="008940C2">
            <w:pPr>
              <w:widowControl/>
              <w:numPr>
                <w:ilvl w:val="0"/>
                <w:numId w:val="37"/>
              </w:numPr>
              <w:spacing w:after="0" w:line="240" w:lineRule="auto"/>
              <w:contextualSpacing/>
              <w:rPr>
                <w:rFonts w:ascii="Arial" w:eastAsia="Times New Roman" w:hAnsi="Arial" w:cs="Arial"/>
                <w:sz w:val="22"/>
                <w:szCs w:val="22"/>
              </w:rPr>
            </w:pPr>
            <w:r w:rsidRPr="00B26DA4">
              <w:rPr>
                <w:rFonts w:ascii="Arial" w:eastAsia="Times New Roman" w:hAnsi="Arial" w:cs="Arial"/>
                <w:sz w:val="22"/>
                <w:szCs w:val="22"/>
              </w:rPr>
              <w:t>Health education</w:t>
            </w:r>
          </w:p>
          <w:p w:rsidR="00B26DA4" w:rsidRPr="00B26DA4" w:rsidRDefault="00B26DA4" w:rsidP="008940C2">
            <w:pPr>
              <w:widowControl/>
              <w:numPr>
                <w:ilvl w:val="0"/>
                <w:numId w:val="37"/>
              </w:numPr>
              <w:spacing w:after="0" w:line="240" w:lineRule="auto"/>
              <w:contextualSpacing/>
              <w:rPr>
                <w:rFonts w:ascii="Arial" w:eastAsia="Times New Roman" w:hAnsi="Arial" w:cs="Arial"/>
                <w:sz w:val="22"/>
                <w:szCs w:val="22"/>
              </w:rPr>
            </w:pPr>
            <w:r w:rsidRPr="00B26DA4">
              <w:rPr>
                <w:rFonts w:ascii="Arial" w:eastAsia="Times New Roman" w:hAnsi="Arial" w:cs="Arial"/>
                <w:sz w:val="22"/>
                <w:szCs w:val="22"/>
              </w:rPr>
              <w:t>Hospital outreach meetings</w:t>
            </w:r>
          </w:p>
          <w:p w:rsidR="00B26DA4" w:rsidRPr="00B26DA4" w:rsidRDefault="00B26DA4" w:rsidP="008940C2">
            <w:pPr>
              <w:widowControl/>
              <w:numPr>
                <w:ilvl w:val="0"/>
                <w:numId w:val="37"/>
              </w:numPr>
              <w:spacing w:after="0" w:line="240" w:lineRule="auto"/>
              <w:contextualSpacing/>
              <w:rPr>
                <w:rFonts w:ascii="Arial" w:eastAsia="Times New Roman" w:hAnsi="Arial" w:cs="Arial"/>
                <w:sz w:val="22"/>
                <w:szCs w:val="22"/>
              </w:rPr>
            </w:pPr>
            <w:r w:rsidRPr="00B26DA4">
              <w:rPr>
                <w:rFonts w:ascii="Arial" w:eastAsia="Times New Roman" w:hAnsi="Arial" w:cs="Arial"/>
                <w:sz w:val="22"/>
                <w:szCs w:val="22"/>
              </w:rPr>
              <w:t>Navigation services</w:t>
            </w:r>
          </w:p>
          <w:p w:rsidR="00B26DA4" w:rsidRPr="00B26DA4" w:rsidRDefault="00B26DA4" w:rsidP="008940C2">
            <w:pPr>
              <w:widowControl/>
              <w:numPr>
                <w:ilvl w:val="0"/>
                <w:numId w:val="37"/>
              </w:numPr>
              <w:spacing w:after="0" w:line="240" w:lineRule="auto"/>
              <w:contextualSpacing/>
              <w:rPr>
                <w:rFonts w:ascii="Arial" w:eastAsia="Times New Roman" w:hAnsi="Arial" w:cs="Arial"/>
                <w:sz w:val="22"/>
                <w:szCs w:val="22"/>
              </w:rPr>
            </w:pPr>
            <w:r w:rsidRPr="00B26DA4">
              <w:rPr>
                <w:rFonts w:ascii="Arial" w:eastAsia="Times New Roman" w:hAnsi="Arial" w:cs="Arial"/>
                <w:sz w:val="22"/>
                <w:szCs w:val="22"/>
              </w:rPr>
              <w:t>Medical Groups</w:t>
            </w:r>
          </w:p>
          <w:p w:rsidR="00B26DA4" w:rsidRPr="00B26DA4" w:rsidRDefault="00B26DA4" w:rsidP="008940C2">
            <w:pPr>
              <w:widowControl/>
              <w:numPr>
                <w:ilvl w:val="0"/>
                <w:numId w:val="37"/>
              </w:numPr>
              <w:spacing w:after="0" w:line="240" w:lineRule="auto"/>
              <w:contextualSpacing/>
              <w:rPr>
                <w:rFonts w:ascii="Arial" w:eastAsia="Times New Roman" w:hAnsi="Arial" w:cs="Arial"/>
                <w:sz w:val="22"/>
                <w:szCs w:val="22"/>
              </w:rPr>
            </w:pPr>
            <w:r w:rsidRPr="00B26DA4">
              <w:rPr>
                <w:rFonts w:ascii="Arial" w:eastAsia="Times New Roman" w:hAnsi="Arial" w:cs="Arial"/>
                <w:sz w:val="22"/>
                <w:szCs w:val="22"/>
              </w:rPr>
              <w:t>Victor Valley Hospital</w:t>
            </w:r>
          </w:p>
          <w:p w:rsidR="00B26DA4" w:rsidRPr="00B26DA4" w:rsidRDefault="00B26DA4" w:rsidP="008940C2">
            <w:pPr>
              <w:widowControl/>
              <w:numPr>
                <w:ilvl w:val="0"/>
                <w:numId w:val="37"/>
              </w:numPr>
              <w:spacing w:after="0" w:line="240" w:lineRule="auto"/>
              <w:contextualSpacing/>
              <w:rPr>
                <w:rFonts w:ascii="Arial" w:eastAsia="Times New Roman" w:hAnsi="Arial" w:cs="Arial"/>
                <w:sz w:val="22"/>
                <w:szCs w:val="22"/>
              </w:rPr>
            </w:pPr>
            <w:r w:rsidRPr="00B26DA4">
              <w:rPr>
                <w:rFonts w:ascii="Arial" w:eastAsia="Times New Roman" w:hAnsi="Arial" w:cs="Arial"/>
                <w:sz w:val="22"/>
                <w:szCs w:val="22"/>
              </w:rPr>
              <w:t>Montclair Community collaborative</w:t>
            </w:r>
          </w:p>
          <w:p w:rsidR="00B26DA4" w:rsidRPr="00B26DA4" w:rsidRDefault="00B26DA4" w:rsidP="008940C2">
            <w:pPr>
              <w:widowControl/>
              <w:numPr>
                <w:ilvl w:val="0"/>
                <w:numId w:val="37"/>
              </w:numPr>
              <w:spacing w:after="0" w:line="240" w:lineRule="auto"/>
              <w:contextualSpacing/>
              <w:rPr>
                <w:rFonts w:ascii="Arial" w:eastAsia="Times New Roman" w:hAnsi="Arial" w:cs="Arial"/>
                <w:noProof/>
                <w:sz w:val="22"/>
                <w:szCs w:val="22"/>
              </w:rPr>
            </w:pPr>
            <w:r w:rsidRPr="00B26DA4">
              <w:rPr>
                <w:rFonts w:ascii="Arial" w:eastAsia="Times New Roman" w:hAnsi="Arial" w:cs="Arial"/>
                <w:sz w:val="22"/>
                <w:szCs w:val="22"/>
              </w:rPr>
              <w:t>Employer-sponsored on-site health clinics</w:t>
            </w:r>
            <w:r w:rsidRPr="00B26DA4">
              <w:rPr>
                <w:rFonts w:ascii="Arial" w:eastAsia="Times New Roman" w:hAnsi="Arial" w:cs="Arial"/>
                <w:noProof/>
                <w:sz w:val="22"/>
                <w:szCs w:val="22"/>
              </w:rPr>
              <w:t xml:space="preserve"> El Sol Neighborhood Education Centers</w:t>
            </w:r>
          </w:p>
          <w:p w:rsidR="00B26DA4" w:rsidRPr="00B26DA4" w:rsidRDefault="00B26DA4" w:rsidP="008940C2">
            <w:pPr>
              <w:widowControl/>
              <w:spacing w:after="0"/>
              <w:ind w:left="720"/>
              <w:contextualSpacing/>
              <w:rPr>
                <w:rFonts w:ascii="Arial" w:eastAsia="Times New Roman" w:hAnsi="Arial" w:cs="Arial"/>
                <w:sz w:val="22"/>
                <w:szCs w:val="22"/>
              </w:rPr>
            </w:pPr>
          </w:p>
        </w:tc>
        <w:tc>
          <w:tcPr>
            <w:tcW w:w="2328" w:type="pct"/>
            <w:gridSpan w:val="2"/>
            <w:tcBorders>
              <w:top w:val="nil"/>
              <w:left w:val="nil"/>
              <w:bottom w:val="nil"/>
              <w:right w:val="nil"/>
            </w:tcBorders>
            <w:shd w:val="clear" w:color="auto" w:fill="D9D9D9" w:themeFill="background1" w:themeFillShade="D9"/>
          </w:tcPr>
          <w:p w:rsidR="00B26DA4" w:rsidRPr="00B26DA4" w:rsidRDefault="00B26DA4" w:rsidP="008940C2">
            <w:pPr>
              <w:widowControl/>
              <w:numPr>
                <w:ilvl w:val="0"/>
                <w:numId w:val="37"/>
              </w:numPr>
              <w:spacing w:after="0" w:line="240" w:lineRule="auto"/>
              <w:contextualSpacing/>
              <w:rPr>
                <w:rFonts w:ascii="Arial" w:eastAsia="Times New Roman" w:hAnsi="Arial" w:cs="Arial"/>
                <w:noProof/>
                <w:sz w:val="22"/>
                <w:szCs w:val="22"/>
              </w:rPr>
            </w:pPr>
            <w:r w:rsidRPr="00B26DA4">
              <w:rPr>
                <w:rFonts w:ascii="Arial" w:eastAsia="Times New Roman" w:hAnsi="Arial" w:cs="Arial"/>
                <w:noProof/>
                <w:sz w:val="22"/>
                <w:szCs w:val="22"/>
              </w:rPr>
              <w:t>Ontario-Montclair School District Vans for transportation to medical appointments</w:t>
            </w:r>
          </w:p>
          <w:p w:rsidR="00B26DA4" w:rsidRPr="00B26DA4" w:rsidRDefault="00B26DA4" w:rsidP="008940C2">
            <w:pPr>
              <w:widowControl/>
              <w:numPr>
                <w:ilvl w:val="0"/>
                <w:numId w:val="37"/>
              </w:numPr>
              <w:spacing w:after="0" w:line="240" w:lineRule="auto"/>
              <w:contextualSpacing/>
              <w:rPr>
                <w:rFonts w:ascii="Arial" w:eastAsia="Times New Roman" w:hAnsi="Arial" w:cs="Arial"/>
                <w:noProof/>
                <w:sz w:val="22"/>
                <w:szCs w:val="22"/>
              </w:rPr>
            </w:pPr>
            <w:r w:rsidRPr="00B26DA4">
              <w:rPr>
                <w:rFonts w:ascii="Arial" w:eastAsia="Times New Roman" w:hAnsi="Arial" w:cs="Arial"/>
                <w:noProof/>
                <w:sz w:val="22"/>
                <w:szCs w:val="22"/>
              </w:rPr>
              <w:t>Kids Come First</w:t>
            </w:r>
          </w:p>
          <w:p w:rsidR="00B26DA4" w:rsidRPr="00B26DA4" w:rsidRDefault="00B26DA4" w:rsidP="008940C2">
            <w:pPr>
              <w:widowControl/>
              <w:numPr>
                <w:ilvl w:val="0"/>
                <w:numId w:val="37"/>
              </w:numPr>
              <w:spacing w:after="0" w:line="240" w:lineRule="auto"/>
              <w:contextualSpacing/>
              <w:rPr>
                <w:rFonts w:ascii="Arial" w:eastAsia="Times New Roman" w:hAnsi="Arial" w:cs="Arial"/>
                <w:noProof/>
                <w:sz w:val="22"/>
                <w:szCs w:val="22"/>
              </w:rPr>
            </w:pPr>
            <w:r w:rsidRPr="00B26DA4">
              <w:rPr>
                <w:rFonts w:ascii="Arial" w:eastAsia="Times New Roman" w:hAnsi="Arial" w:cs="Arial"/>
                <w:noProof/>
                <w:sz w:val="22"/>
                <w:szCs w:val="22"/>
              </w:rPr>
              <w:t>Inland Empire Health Plan</w:t>
            </w:r>
          </w:p>
          <w:p w:rsidR="00B26DA4" w:rsidRPr="00B26DA4" w:rsidRDefault="00B26DA4" w:rsidP="008940C2">
            <w:pPr>
              <w:widowControl/>
              <w:numPr>
                <w:ilvl w:val="0"/>
                <w:numId w:val="37"/>
              </w:numPr>
              <w:spacing w:after="0" w:line="240" w:lineRule="auto"/>
              <w:contextualSpacing/>
              <w:rPr>
                <w:rFonts w:ascii="Arial" w:eastAsia="Times New Roman" w:hAnsi="Arial" w:cs="Arial"/>
                <w:noProof/>
                <w:sz w:val="22"/>
                <w:szCs w:val="22"/>
              </w:rPr>
            </w:pPr>
            <w:r w:rsidRPr="00B26DA4">
              <w:rPr>
                <w:rFonts w:ascii="Arial" w:eastAsia="Times New Roman" w:hAnsi="Arial" w:cs="Arial"/>
                <w:noProof/>
                <w:sz w:val="22"/>
                <w:szCs w:val="22"/>
              </w:rPr>
              <w:t>Molina Medical</w:t>
            </w:r>
          </w:p>
          <w:p w:rsidR="00B26DA4" w:rsidRPr="00B26DA4" w:rsidRDefault="00B26DA4" w:rsidP="008940C2">
            <w:pPr>
              <w:widowControl/>
              <w:numPr>
                <w:ilvl w:val="0"/>
                <w:numId w:val="37"/>
              </w:numPr>
              <w:spacing w:after="0" w:line="240" w:lineRule="auto"/>
              <w:contextualSpacing/>
              <w:rPr>
                <w:rFonts w:ascii="Arial" w:eastAsia="Times New Roman" w:hAnsi="Arial" w:cs="Arial"/>
                <w:noProof/>
                <w:sz w:val="22"/>
                <w:szCs w:val="22"/>
              </w:rPr>
            </w:pPr>
            <w:r w:rsidRPr="00B26DA4">
              <w:rPr>
                <w:rFonts w:ascii="Arial" w:eastAsia="Times New Roman" w:hAnsi="Arial" w:cs="Arial"/>
                <w:noProof/>
                <w:sz w:val="22"/>
                <w:szCs w:val="22"/>
              </w:rPr>
              <w:t>Kaiser Permanente</w:t>
            </w:r>
          </w:p>
          <w:p w:rsidR="00B26DA4" w:rsidRPr="00B26DA4" w:rsidRDefault="00B26DA4" w:rsidP="008940C2">
            <w:pPr>
              <w:widowControl/>
              <w:numPr>
                <w:ilvl w:val="0"/>
                <w:numId w:val="37"/>
              </w:numPr>
              <w:spacing w:after="0" w:line="240" w:lineRule="auto"/>
              <w:contextualSpacing/>
              <w:rPr>
                <w:rFonts w:ascii="Arial" w:eastAsia="Times New Roman" w:hAnsi="Arial" w:cs="Arial"/>
                <w:noProof/>
                <w:sz w:val="22"/>
                <w:szCs w:val="22"/>
              </w:rPr>
            </w:pPr>
            <w:r w:rsidRPr="00B26DA4">
              <w:rPr>
                <w:rFonts w:ascii="Arial" w:eastAsia="Times New Roman" w:hAnsi="Arial" w:cs="Arial"/>
                <w:noProof/>
                <w:sz w:val="22"/>
                <w:szCs w:val="22"/>
              </w:rPr>
              <w:t>Social Action Community Health</w:t>
            </w:r>
          </w:p>
        </w:tc>
      </w:tr>
      <w:tr w:rsidR="00B26DA4" w:rsidRPr="00B26DA4" w:rsidTr="00C542D4">
        <w:trPr>
          <w:trHeight w:val="219"/>
        </w:trPr>
        <w:tc>
          <w:tcPr>
            <w:tcW w:w="5000" w:type="pct"/>
            <w:gridSpan w:val="4"/>
            <w:tcBorders>
              <w:top w:val="nil"/>
              <w:left w:val="nil"/>
              <w:bottom w:val="nil"/>
              <w:right w:val="nil"/>
            </w:tcBorders>
            <w:shd w:val="clear" w:color="auto" w:fill="D9D9D9" w:themeFill="background1" w:themeFillShade="D9"/>
          </w:tcPr>
          <w:p w:rsidR="00B26DA4" w:rsidRPr="00B26DA4" w:rsidRDefault="00B26DA4" w:rsidP="008940C2">
            <w:pPr>
              <w:tabs>
                <w:tab w:val="left" w:pos="1656"/>
              </w:tabs>
              <w:spacing w:after="0" w:line="240" w:lineRule="auto"/>
              <w:rPr>
                <w:rFonts w:ascii="Arial" w:eastAsia="Arial" w:hAnsi="Arial" w:cs="Arial"/>
                <w:b/>
                <w:noProof/>
                <w:color w:val="000000"/>
                <w:sz w:val="22"/>
                <w:szCs w:val="22"/>
              </w:rPr>
            </w:pPr>
            <w:r w:rsidRPr="00B26DA4">
              <w:rPr>
                <w:rFonts w:ascii="Arial" w:eastAsia="Arial" w:hAnsi="Arial" w:cs="Arial"/>
                <w:b/>
                <w:noProof/>
                <w:color w:val="000000"/>
                <w:sz w:val="22"/>
                <w:szCs w:val="22"/>
              </w:rPr>
              <w:t>Programs, Policy, Planning, and Collaboration</w:t>
            </w:r>
          </w:p>
          <w:p w:rsidR="00B26DA4" w:rsidRPr="00B26DA4" w:rsidRDefault="00B26DA4" w:rsidP="008940C2">
            <w:pPr>
              <w:tabs>
                <w:tab w:val="left" w:pos="1656"/>
              </w:tabs>
              <w:spacing w:after="0" w:line="240" w:lineRule="auto"/>
              <w:rPr>
                <w:rFonts w:ascii="Arial" w:eastAsia="Arial" w:hAnsi="Arial" w:cs="Arial"/>
                <w:b/>
                <w:noProof/>
                <w:color w:val="000000"/>
                <w:sz w:val="22"/>
                <w:szCs w:val="22"/>
              </w:rPr>
            </w:pPr>
          </w:p>
          <w:p w:rsidR="00B26DA4" w:rsidRPr="00B26DA4" w:rsidRDefault="00B26DA4" w:rsidP="008940C2">
            <w:pPr>
              <w:tabs>
                <w:tab w:val="left" w:pos="1656"/>
              </w:tabs>
              <w:spacing w:after="0" w:line="240" w:lineRule="auto"/>
              <w:rPr>
                <w:rFonts w:ascii="Arial" w:eastAsia="Arial" w:hAnsi="Arial" w:cs="Arial"/>
                <w:b/>
                <w:noProof/>
                <w:color w:val="000000"/>
                <w:sz w:val="22"/>
                <w:szCs w:val="22"/>
              </w:rPr>
            </w:pPr>
            <w:r w:rsidRPr="00B26DA4">
              <w:rPr>
                <w:rFonts w:ascii="Arial" w:eastAsia="Arial" w:hAnsi="Arial" w:cs="Arial"/>
                <w:b/>
                <w:noProof/>
                <w:color w:val="000000"/>
                <w:sz w:val="22"/>
                <w:szCs w:val="22"/>
              </w:rPr>
              <w:t xml:space="preserve">Healthy Cities and Communities: </w:t>
            </w:r>
            <w:r w:rsidRPr="00B26DA4">
              <w:rPr>
                <w:rFonts w:ascii="Arial" w:eastAsia="Arial" w:hAnsi="Arial" w:cs="Arial"/>
                <w:noProof/>
                <w:color w:val="000000"/>
                <w:sz w:val="22"/>
                <w:szCs w:val="22"/>
              </w:rPr>
              <w:t>Nearly all communities within the KFH-Fontana/Ontario Medical Center Service Areas have Healthy Cities and Communities initiatives. These community-based initiatives are focused on improving the overall health and wellbeing of residents. These efforts focus on the unique needs of each community—for example, walking clubs, farmer’s markets, healthy vending machine policies, breastfeeding policies are among some of the programs and policies enacted by Healthy Cities and Communities.</w:t>
            </w:r>
          </w:p>
          <w:p w:rsidR="00B26DA4" w:rsidRPr="00B26DA4" w:rsidRDefault="00B26DA4" w:rsidP="008940C2">
            <w:pPr>
              <w:tabs>
                <w:tab w:val="left" w:pos="1656"/>
              </w:tabs>
              <w:spacing w:after="0" w:line="240" w:lineRule="auto"/>
              <w:rPr>
                <w:rFonts w:ascii="Arial" w:eastAsia="Arial" w:hAnsi="Arial" w:cs="Arial"/>
                <w:noProof/>
                <w:color w:val="000000"/>
                <w:sz w:val="22"/>
                <w:szCs w:val="22"/>
              </w:rPr>
            </w:pPr>
          </w:p>
          <w:p w:rsidR="00B26DA4" w:rsidRPr="00B26DA4" w:rsidRDefault="00B26DA4" w:rsidP="008940C2">
            <w:pPr>
              <w:tabs>
                <w:tab w:val="left" w:pos="1656"/>
              </w:tabs>
              <w:spacing w:after="0" w:line="240" w:lineRule="auto"/>
              <w:rPr>
                <w:rFonts w:ascii="Arial" w:eastAsia="Arial" w:hAnsi="Arial" w:cs="Arial"/>
                <w:noProof/>
                <w:color w:val="000000"/>
                <w:sz w:val="22"/>
                <w:szCs w:val="22"/>
              </w:rPr>
            </w:pPr>
            <w:r w:rsidRPr="00B26DA4">
              <w:rPr>
                <w:rFonts w:ascii="Arial" w:eastAsia="Arial" w:hAnsi="Arial" w:cs="Arial"/>
                <w:b/>
                <w:noProof/>
                <w:color w:val="000000"/>
                <w:sz w:val="22"/>
                <w:szCs w:val="22"/>
              </w:rPr>
              <w:t xml:space="preserve">El Sol Community Health Workers </w:t>
            </w:r>
            <w:r w:rsidRPr="00B26DA4">
              <w:rPr>
                <w:rFonts w:ascii="Arial" w:eastAsia="Arial" w:hAnsi="Arial" w:cs="Arial"/>
                <w:noProof/>
                <w:color w:val="000000"/>
                <w:sz w:val="22"/>
                <w:szCs w:val="22"/>
              </w:rPr>
              <w:t>provide health and mental health education and outreach in the communities where they live. Their work is focused on prevention and early identification of health needs. Community Health Workers help residents connect to health insurance, learn to use their insurance and navigate healthcare systems and connect to providers.</w:t>
            </w:r>
          </w:p>
          <w:p w:rsidR="00B26DA4" w:rsidRPr="00B26DA4" w:rsidRDefault="00B26DA4" w:rsidP="008940C2">
            <w:pPr>
              <w:tabs>
                <w:tab w:val="left" w:pos="1656"/>
              </w:tabs>
              <w:spacing w:after="0" w:line="240" w:lineRule="auto"/>
              <w:rPr>
                <w:rFonts w:ascii="Arial" w:eastAsia="Arial" w:hAnsi="Arial" w:cs="Arial"/>
                <w:noProof/>
                <w:color w:val="000000"/>
                <w:sz w:val="22"/>
                <w:szCs w:val="22"/>
              </w:rPr>
            </w:pPr>
          </w:p>
          <w:p w:rsidR="00B26DA4" w:rsidRPr="00B26DA4" w:rsidRDefault="00B26DA4" w:rsidP="008940C2">
            <w:pPr>
              <w:tabs>
                <w:tab w:val="left" w:pos="1656"/>
              </w:tabs>
              <w:spacing w:after="0" w:line="240" w:lineRule="auto"/>
              <w:rPr>
                <w:rFonts w:ascii="Arial" w:eastAsia="Arial" w:hAnsi="Arial" w:cs="Arial"/>
                <w:noProof/>
                <w:color w:val="000000"/>
                <w:sz w:val="22"/>
                <w:szCs w:val="22"/>
              </w:rPr>
            </w:pPr>
            <w:r w:rsidRPr="00B26DA4">
              <w:rPr>
                <w:rFonts w:ascii="Arial" w:eastAsia="Arial" w:hAnsi="Arial" w:cs="Arial"/>
                <w:b/>
                <w:noProof/>
                <w:color w:val="000000"/>
                <w:sz w:val="22"/>
                <w:szCs w:val="22"/>
              </w:rPr>
              <w:t>Partners for Better Health:</w:t>
            </w:r>
            <w:r w:rsidRPr="00B26DA4">
              <w:rPr>
                <w:rFonts w:ascii="Arial" w:eastAsia="Arial" w:hAnsi="Arial" w:cs="Arial"/>
                <w:noProof/>
                <w:color w:val="000000"/>
                <w:sz w:val="22"/>
                <w:szCs w:val="22"/>
              </w:rPr>
              <w:t xml:space="preserve"> This organization administers the Randall Lewis Health Policy Fellows, which places graduate students with expertise in public health to support the work of healthy cities and communities.</w:t>
            </w:r>
          </w:p>
          <w:p w:rsidR="00B26DA4" w:rsidRPr="00B26DA4" w:rsidRDefault="00B26DA4" w:rsidP="008940C2">
            <w:pPr>
              <w:tabs>
                <w:tab w:val="left" w:pos="1656"/>
              </w:tabs>
              <w:spacing w:after="0" w:line="240" w:lineRule="auto"/>
              <w:rPr>
                <w:rFonts w:ascii="Arial" w:eastAsia="Arial" w:hAnsi="Arial" w:cs="Arial"/>
                <w:noProof/>
                <w:color w:val="000000"/>
                <w:sz w:val="22"/>
                <w:szCs w:val="22"/>
              </w:rPr>
            </w:pPr>
          </w:p>
          <w:p w:rsidR="00B26DA4" w:rsidRPr="00B26DA4" w:rsidRDefault="00B26DA4" w:rsidP="008940C2">
            <w:pPr>
              <w:spacing w:after="0" w:line="240" w:lineRule="auto"/>
              <w:rPr>
                <w:rFonts w:ascii="Arial" w:eastAsia="Arial" w:hAnsi="Arial" w:cs="Arial"/>
                <w:color w:val="000000"/>
                <w:sz w:val="22"/>
                <w:szCs w:val="22"/>
              </w:rPr>
            </w:pPr>
            <w:r w:rsidRPr="00B26DA4">
              <w:rPr>
                <w:rFonts w:ascii="Arial" w:eastAsia="Arial" w:hAnsi="Arial" w:cs="Arial"/>
                <w:color w:val="000000"/>
                <w:sz w:val="22"/>
                <w:szCs w:val="22"/>
              </w:rPr>
              <w:t xml:space="preserve">The </w:t>
            </w:r>
            <w:r w:rsidRPr="00B26DA4">
              <w:rPr>
                <w:rFonts w:ascii="Arial" w:eastAsia="Arial" w:hAnsi="Arial" w:cs="Arial"/>
                <w:b/>
                <w:color w:val="000000"/>
                <w:sz w:val="22"/>
                <w:szCs w:val="22"/>
              </w:rPr>
              <w:t>RIM Community Resource Network</w:t>
            </w:r>
            <w:r w:rsidRPr="00B26DA4">
              <w:rPr>
                <w:rFonts w:ascii="Arial" w:eastAsia="Arial" w:hAnsi="Arial" w:cs="Arial"/>
                <w:color w:val="000000"/>
                <w:sz w:val="22"/>
                <w:szCs w:val="22"/>
              </w:rPr>
              <w:t xml:space="preserve"> is a collaborative of pubic and community based service providers representing the Mountain Communities. The network includes organizations that provide counseling and case management, and provide health screening and education at fairs and outreach events.</w:t>
            </w:r>
          </w:p>
        </w:tc>
      </w:tr>
      <w:tr w:rsidR="00B26DA4" w:rsidRPr="00B26DA4" w:rsidTr="00C542D4">
        <w:trPr>
          <w:trHeight w:val="219"/>
        </w:trPr>
        <w:tc>
          <w:tcPr>
            <w:tcW w:w="5000" w:type="pct"/>
            <w:gridSpan w:val="4"/>
            <w:tcBorders>
              <w:top w:val="nil"/>
              <w:left w:val="nil"/>
              <w:bottom w:val="nil"/>
              <w:right w:val="nil"/>
            </w:tcBorders>
            <w:shd w:val="clear" w:color="auto" w:fill="FFFFFF" w:themeFill="background1"/>
          </w:tcPr>
          <w:p w:rsidR="00B26DA4" w:rsidRPr="00B26DA4" w:rsidRDefault="00B26DA4" w:rsidP="008940C2">
            <w:pPr>
              <w:tabs>
                <w:tab w:val="left" w:pos="1656"/>
              </w:tabs>
              <w:spacing w:after="0" w:line="240" w:lineRule="auto"/>
              <w:rPr>
                <w:rFonts w:ascii="Arial" w:eastAsia="Arial" w:hAnsi="Arial" w:cs="Arial"/>
                <w:b/>
                <w:noProof/>
                <w:color w:val="000000"/>
                <w:sz w:val="22"/>
                <w:szCs w:val="22"/>
              </w:rPr>
            </w:pPr>
            <w:r w:rsidRPr="00B26DA4">
              <w:rPr>
                <w:rFonts w:ascii="Arial" w:eastAsia="Arial" w:hAnsi="Arial" w:cs="Arial"/>
                <w:color w:val="000000"/>
                <w:sz w:val="22"/>
                <w:szCs w:val="22"/>
              </w:rPr>
              <w:t xml:space="preserve">Icons from </w:t>
            </w:r>
            <w:hyperlink r:id="rId21">
              <w:r w:rsidRPr="00B26DA4">
                <w:rPr>
                  <w:rFonts w:ascii="Arial" w:eastAsia="Arial" w:hAnsi="Arial" w:cs="Arial"/>
                  <w:color w:val="1155CC"/>
                  <w:sz w:val="22"/>
                  <w:szCs w:val="22"/>
                  <w:u w:val="single"/>
                </w:rPr>
                <w:t>The Noun Project</w:t>
              </w:r>
            </w:hyperlink>
          </w:p>
        </w:tc>
      </w:tr>
    </w:tbl>
    <w:p w:rsidR="00A40EE0" w:rsidRDefault="00E7785F" w:rsidP="00B26DA4">
      <w:pPr>
        <w:rPr>
          <w:rFonts w:ascii="Arial" w:eastAsia="Arial" w:hAnsi="Arial" w:cs="Arial"/>
          <w:sz w:val="32"/>
          <w:szCs w:val="32"/>
        </w:rPr>
      </w:pPr>
      <w:r>
        <w:rPr>
          <w:rFonts w:ascii="Arial" w:eastAsia="Arial" w:hAnsi="Arial" w:cs="Arial"/>
          <w:sz w:val="32"/>
          <w:szCs w:val="3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397"/>
        <w:gridCol w:w="337"/>
        <w:gridCol w:w="2651"/>
        <w:gridCol w:w="685"/>
        <w:gridCol w:w="4010"/>
      </w:tblGrid>
      <w:tr w:rsidR="00A40EE0" w:rsidRPr="00A40EE0" w:rsidTr="00C542D4">
        <w:trPr>
          <w:trHeight w:val="440"/>
        </w:trPr>
        <w:tc>
          <w:tcPr>
            <w:tcW w:w="5000" w:type="pct"/>
            <w:gridSpan w:val="5"/>
            <w:tcBorders>
              <w:top w:val="nil"/>
              <w:left w:val="nil"/>
              <w:bottom w:val="nil"/>
              <w:right w:val="nil"/>
            </w:tcBorders>
            <w:tcMar>
              <w:top w:w="100" w:type="dxa"/>
              <w:left w:w="100" w:type="dxa"/>
              <w:bottom w:w="100" w:type="dxa"/>
              <w:right w:w="100" w:type="dxa"/>
            </w:tcMar>
          </w:tcPr>
          <w:p w:rsidR="00A40EE0" w:rsidRPr="00A40EE0" w:rsidRDefault="00A40EE0" w:rsidP="00A40EE0">
            <w:pPr>
              <w:spacing w:after="0" w:line="240" w:lineRule="auto"/>
              <w:jc w:val="center"/>
              <w:outlineLvl w:val="1"/>
              <w:rPr>
                <w:rFonts w:ascii="Arial" w:eastAsia="Arial" w:hAnsi="Arial" w:cs="Arial"/>
                <w:color w:val="1F497D"/>
                <w:sz w:val="32"/>
                <w:szCs w:val="32"/>
              </w:rPr>
            </w:pPr>
            <w:bookmarkStart w:id="9" w:name="_Toc452498443"/>
            <w:r w:rsidRPr="00A40EE0">
              <w:rPr>
                <w:rFonts w:ascii="Arial" w:eastAsia="Arial" w:hAnsi="Arial" w:cs="Arial"/>
                <w:b/>
                <w:color w:val="1F497D"/>
                <w:sz w:val="32"/>
                <w:szCs w:val="32"/>
              </w:rPr>
              <w:t>Economic Security</w:t>
            </w:r>
            <w:bookmarkEnd w:id="9"/>
            <w:r w:rsidRPr="00A40EE0">
              <w:rPr>
                <w:rFonts w:ascii="Arial" w:eastAsia="Arial" w:hAnsi="Arial" w:cs="Arial"/>
                <w:b/>
                <w:color w:val="1F497D"/>
                <w:sz w:val="32"/>
                <w:szCs w:val="32"/>
              </w:rPr>
              <w:t xml:space="preserve"> </w:t>
            </w:r>
          </w:p>
          <w:p w:rsidR="00A40EE0" w:rsidRPr="00A40EE0" w:rsidRDefault="00A40EE0" w:rsidP="00A40EE0">
            <w:pPr>
              <w:spacing w:after="120" w:line="240" w:lineRule="auto"/>
              <w:rPr>
                <w:rFonts w:ascii="Arial" w:eastAsia="Arial" w:hAnsi="Arial" w:cs="Arial"/>
                <w:color w:val="1F497D"/>
                <w:sz w:val="22"/>
                <w:szCs w:val="22"/>
              </w:rPr>
            </w:pPr>
            <w:r w:rsidRPr="00A40EE0">
              <w:rPr>
                <w:rFonts w:ascii="Arial" w:eastAsia="Arial" w:hAnsi="Arial" w:cs="Arial"/>
                <w:b/>
                <w:color w:val="000000"/>
                <w:sz w:val="22"/>
                <w:szCs w:val="22"/>
              </w:rPr>
              <w:t>Description and Significance:</w:t>
            </w:r>
            <w:r w:rsidRPr="00A40EE0">
              <w:rPr>
                <w:rFonts w:ascii="Arial" w:eastAsia="Arial" w:hAnsi="Arial" w:cs="Arial"/>
                <w:color w:val="000000"/>
                <w:sz w:val="22"/>
                <w:szCs w:val="22"/>
              </w:rPr>
              <w:t xml:space="preserve"> </w:t>
            </w:r>
            <w:r w:rsidRPr="00A40EE0">
              <w:rPr>
                <w:rFonts w:ascii="Arial" w:eastAsia="Calibri" w:hAnsi="Arial" w:cs="Arial"/>
                <w:sz w:val="22"/>
                <w:szCs w:val="22"/>
              </w:rPr>
              <w:t xml:space="preserve">Economic security includes factors that can impact the overall ability of families or individuals to be healthy such as income, neighborhood environment and access to resources. Many of these factors are social determinants of health which affect a person’s ability to live in a healthy and safe environment and to access health resources within the community. </w:t>
            </w:r>
            <w:r w:rsidRPr="00A40EE0">
              <w:rPr>
                <w:rFonts w:ascii="Arial" w:eastAsia="Arial" w:hAnsi="Arial" w:cs="Arial"/>
                <w:sz w:val="22"/>
                <w:szCs w:val="22"/>
              </w:rPr>
              <w:t xml:space="preserve">Income allows families and individuals to purchase health insurance and medical care, but also provides options for healthy lifestyle choices. Poor families and individuals are most likely to live in unsafe homes and neighborhoods, often with limited access to healthy foods, employment options, and quality schools. The ongoing stress and challenges associated with poverty can lead to cumulative health damage. Chronic illness is more likely to affect those with the lowest incomes, and children in low income families are sicker than their high income counterparts (CDC, Social Determinants of Health). </w:t>
            </w:r>
          </w:p>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color w:val="000000"/>
                <w:sz w:val="22"/>
                <w:szCs w:val="22"/>
              </w:rPr>
              <w:t>Unemployment remains higher in the KFH-Fontana/Ontario Medical Center Service Areas compared to the S CA MCA and the state. Residents in the KFH-Fontana Medical Center Service Area are more likely to live below the federal poverty level (FPL) and to live in households with incomes at or below 200% of the FPL than residents in the KFH-Ontario Medical Center Service Area, the S CA MCA and the state.</w:t>
            </w:r>
          </w:p>
        </w:tc>
      </w:tr>
      <w:tr w:rsidR="00A40EE0" w:rsidRPr="00A40EE0" w:rsidTr="00C542D4">
        <w:trPr>
          <w:trHeight w:val="400"/>
        </w:trPr>
        <w:tc>
          <w:tcPr>
            <w:tcW w:w="5000" w:type="pct"/>
            <w:gridSpan w:val="5"/>
            <w:tcBorders>
              <w:top w:val="nil"/>
              <w:left w:val="nil"/>
              <w:bottom w:val="nil"/>
              <w:right w:val="nil"/>
            </w:tcBorders>
            <w:shd w:val="clear" w:color="auto" w:fill="006D9D"/>
            <w:tcMar>
              <w:top w:w="57" w:type="dxa"/>
              <w:left w:w="57" w:type="dxa"/>
              <w:bottom w:w="57" w:type="dxa"/>
              <w:right w:w="57" w:type="dxa"/>
            </w:tcMar>
          </w:tcPr>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b/>
                <w:color w:val="FFFFFF"/>
                <w:sz w:val="32"/>
                <w:szCs w:val="32"/>
              </w:rPr>
              <w:t>Health Driver Statistics</w:t>
            </w:r>
          </w:p>
        </w:tc>
      </w:tr>
      <w:tr w:rsidR="00221A75" w:rsidRPr="00A40EE0" w:rsidTr="00C542D4">
        <w:trPr>
          <w:trHeight w:val="800"/>
        </w:trPr>
        <w:tc>
          <w:tcPr>
            <w:tcW w:w="1109" w:type="pct"/>
            <w:tcBorders>
              <w:top w:val="nil"/>
              <w:left w:val="nil"/>
              <w:bottom w:val="nil"/>
              <w:right w:val="nil"/>
            </w:tcBorders>
          </w:tcPr>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noProof/>
                <w:color w:val="000000"/>
                <w:sz w:val="22"/>
                <w:szCs w:val="22"/>
              </w:rPr>
              <w:drawing>
                <wp:anchor distT="0" distB="0" distL="114300" distR="114300" simplePos="0" relativeHeight="251665408" behindDoc="0" locked="0" layoutInCell="1" allowOverlap="1" wp14:anchorId="6DBC0CCE" wp14:editId="62443AD0">
                  <wp:simplePos x="0" y="0"/>
                  <wp:positionH relativeFrom="column">
                    <wp:posOffset>-1270</wp:posOffset>
                  </wp:positionH>
                  <wp:positionV relativeFrom="paragraph">
                    <wp:posOffset>635</wp:posOffset>
                  </wp:positionV>
                  <wp:extent cx="552450" cy="560705"/>
                  <wp:effectExtent l="0" t="0" r="0" b="0"/>
                  <wp:wrapSquare wrapText="bothSides"/>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552450" cy="560705"/>
                          </a:xfrm>
                          <a:prstGeom prst="rect">
                            <a:avLst/>
                          </a:prstGeom>
                          <a:ln/>
                        </pic:spPr>
                      </pic:pic>
                    </a:graphicData>
                  </a:graphic>
                  <wp14:sizeRelH relativeFrom="page">
                    <wp14:pctWidth>0</wp14:pctWidth>
                  </wp14:sizeRelH>
                  <wp14:sizeRelV relativeFrom="page">
                    <wp14:pctHeight>0</wp14:pctHeight>
                  </wp14:sizeRelV>
                </wp:anchor>
              </w:drawing>
            </w:r>
          </w:p>
        </w:tc>
        <w:tc>
          <w:tcPr>
            <w:tcW w:w="1522" w:type="pct"/>
            <w:gridSpan w:val="2"/>
            <w:tcBorders>
              <w:top w:val="nil"/>
              <w:left w:val="nil"/>
              <w:bottom w:val="nil"/>
              <w:right w:val="nil"/>
            </w:tcBorders>
          </w:tcPr>
          <w:p w:rsidR="00A40EE0" w:rsidRPr="00A40EE0" w:rsidRDefault="00A40EE0" w:rsidP="00A40EE0">
            <w:pPr>
              <w:spacing w:after="0" w:line="240" w:lineRule="auto"/>
              <w:jc w:val="center"/>
              <w:rPr>
                <w:rFonts w:ascii="Arial" w:eastAsia="Arial" w:hAnsi="Arial" w:cs="Arial"/>
                <w:b/>
                <w:color w:val="000000"/>
                <w:sz w:val="22"/>
                <w:szCs w:val="22"/>
              </w:rPr>
            </w:pPr>
          </w:p>
          <w:p w:rsidR="00A40EE0" w:rsidRPr="00A40EE0" w:rsidRDefault="00A40EE0" w:rsidP="00A40EE0">
            <w:pPr>
              <w:spacing w:after="0" w:line="240" w:lineRule="auto"/>
              <w:jc w:val="center"/>
              <w:rPr>
                <w:rFonts w:ascii="Arial" w:eastAsia="Arial" w:hAnsi="Arial" w:cs="Arial"/>
                <w:b/>
                <w:color w:val="000000"/>
                <w:sz w:val="22"/>
                <w:szCs w:val="22"/>
              </w:rPr>
            </w:pPr>
            <w:r w:rsidRPr="00A40EE0">
              <w:rPr>
                <w:rFonts w:ascii="Arial" w:eastAsia="Arial" w:hAnsi="Arial" w:cs="Arial"/>
                <w:b/>
                <w:color w:val="000000"/>
                <w:sz w:val="22"/>
                <w:szCs w:val="22"/>
              </w:rPr>
              <w:t>Unemployment Rate</w:t>
            </w:r>
          </w:p>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b/>
                <w:color w:val="000000"/>
                <w:sz w:val="22"/>
                <w:szCs w:val="22"/>
              </w:rPr>
              <w:t>(Per 100,000 Population)</w:t>
            </w:r>
          </w:p>
        </w:tc>
        <w:tc>
          <w:tcPr>
            <w:tcW w:w="2369" w:type="pct"/>
            <w:gridSpan w:val="2"/>
            <w:vMerge w:val="restart"/>
            <w:tcBorders>
              <w:top w:val="nil"/>
              <w:left w:val="nil"/>
              <w:bottom w:val="nil"/>
              <w:right w:val="nil"/>
            </w:tcBorders>
          </w:tcPr>
          <w:p w:rsidR="00A40EE0" w:rsidRPr="00A40EE0" w:rsidRDefault="00A40EE0" w:rsidP="00A40EE0">
            <w:pPr>
              <w:spacing w:after="0" w:line="240" w:lineRule="auto"/>
              <w:rPr>
                <w:rFonts w:ascii="Arial" w:eastAsia="Arial" w:hAnsi="Arial" w:cs="Arial"/>
                <w:b/>
                <w:color w:val="000000"/>
                <w:sz w:val="22"/>
                <w:szCs w:val="22"/>
              </w:rPr>
            </w:pPr>
          </w:p>
          <w:p w:rsidR="00A40EE0" w:rsidRPr="00A40EE0" w:rsidRDefault="00A40EE0" w:rsidP="00A40EE0">
            <w:pPr>
              <w:spacing w:after="0" w:line="240" w:lineRule="auto"/>
              <w:rPr>
                <w:rFonts w:ascii="Arial" w:eastAsia="Arial" w:hAnsi="Arial" w:cs="Arial"/>
                <w:b/>
                <w:color w:val="000000"/>
                <w:sz w:val="22"/>
                <w:szCs w:val="22"/>
              </w:rPr>
            </w:pPr>
            <w:r w:rsidRPr="00A40EE0">
              <w:rPr>
                <w:rFonts w:ascii="Arial" w:eastAsia="Arial" w:hAnsi="Arial" w:cs="Arial"/>
                <w:b/>
                <w:color w:val="000000"/>
                <w:sz w:val="22"/>
                <w:szCs w:val="22"/>
              </w:rPr>
              <w:t xml:space="preserve">Income Inequality </w:t>
            </w:r>
          </w:p>
          <w:p w:rsidR="00A40EE0" w:rsidRPr="00A40EE0" w:rsidRDefault="00A40EE0" w:rsidP="00A40EE0">
            <w:pPr>
              <w:spacing w:after="0" w:line="240" w:lineRule="auto"/>
              <w:jc w:val="center"/>
              <w:rPr>
                <w:rFonts w:ascii="Arial" w:eastAsia="Arial" w:hAnsi="Arial" w:cs="Arial"/>
                <w:b/>
                <w:color w:val="000000"/>
                <w:sz w:val="22"/>
                <w:szCs w:val="22"/>
              </w:rPr>
            </w:pPr>
          </w:p>
          <w:tbl>
            <w:tblPr>
              <w:tblStyle w:val="TableGrid2"/>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1383"/>
            </w:tblGrid>
            <w:tr w:rsidR="00A40EE0" w:rsidRPr="00A40EE0" w:rsidTr="00221A75">
              <w:tc>
                <w:tcPr>
                  <w:tcW w:w="3217" w:type="dxa"/>
                </w:tcPr>
                <w:p w:rsidR="00A40EE0" w:rsidRPr="00A40EE0" w:rsidRDefault="00A40EE0" w:rsidP="00A40EE0">
                  <w:pPr>
                    <w:widowControl/>
                    <w:spacing w:after="0" w:line="240" w:lineRule="auto"/>
                    <w:rPr>
                      <w:rFonts w:ascii="Arial" w:eastAsia="Calibri" w:hAnsi="Arial" w:cs="Arial"/>
                      <w:sz w:val="22"/>
                      <w:szCs w:val="22"/>
                    </w:rPr>
                  </w:pPr>
                  <w:r w:rsidRPr="00A40EE0">
                    <w:rPr>
                      <w:rFonts w:ascii="Arial" w:eastAsia="Calibri" w:hAnsi="Arial" w:cs="Arial"/>
                      <w:sz w:val="22"/>
                      <w:szCs w:val="22"/>
                    </w:rPr>
                    <w:t>San Bernardino County</w:t>
                  </w:r>
                </w:p>
              </w:tc>
              <w:tc>
                <w:tcPr>
                  <w:tcW w:w="1530" w:type="dxa"/>
                </w:tcPr>
                <w:p w:rsidR="00A40EE0" w:rsidRPr="00A40EE0" w:rsidRDefault="00A40EE0" w:rsidP="00A40EE0">
                  <w:pPr>
                    <w:widowControl/>
                    <w:spacing w:after="0" w:line="240" w:lineRule="auto"/>
                    <w:rPr>
                      <w:rFonts w:ascii="Arial" w:eastAsia="Calibri" w:hAnsi="Arial" w:cs="Arial"/>
                      <w:sz w:val="22"/>
                      <w:szCs w:val="22"/>
                    </w:rPr>
                  </w:pPr>
                  <w:r w:rsidRPr="00A40EE0">
                    <w:rPr>
                      <w:rFonts w:ascii="Arial" w:eastAsia="Calibri" w:hAnsi="Arial" w:cs="Arial"/>
                      <w:sz w:val="22"/>
                      <w:szCs w:val="22"/>
                    </w:rPr>
                    <w:t>0.44</w:t>
                  </w:r>
                </w:p>
              </w:tc>
            </w:tr>
            <w:tr w:rsidR="00A40EE0" w:rsidRPr="00A40EE0" w:rsidTr="00221A75">
              <w:tc>
                <w:tcPr>
                  <w:tcW w:w="3217" w:type="dxa"/>
                </w:tcPr>
                <w:p w:rsidR="00A40EE0" w:rsidRPr="00A40EE0" w:rsidRDefault="00A40EE0" w:rsidP="00A40EE0">
                  <w:pPr>
                    <w:widowControl/>
                    <w:spacing w:after="0" w:line="240" w:lineRule="auto"/>
                    <w:rPr>
                      <w:rFonts w:ascii="Arial" w:eastAsia="Calibri" w:hAnsi="Arial" w:cs="Arial"/>
                      <w:sz w:val="22"/>
                      <w:szCs w:val="22"/>
                    </w:rPr>
                  </w:pPr>
                  <w:r w:rsidRPr="00A40EE0">
                    <w:rPr>
                      <w:rFonts w:ascii="Arial" w:eastAsia="Calibri" w:hAnsi="Arial" w:cs="Arial"/>
                      <w:sz w:val="22"/>
                      <w:szCs w:val="22"/>
                    </w:rPr>
                    <w:t>California</w:t>
                  </w:r>
                </w:p>
              </w:tc>
              <w:tc>
                <w:tcPr>
                  <w:tcW w:w="1530" w:type="dxa"/>
                </w:tcPr>
                <w:p w:rsidR="00A40EE0" w:rsidRPr="00A40EE0" w:rsidRDefault="00A40EE0" w:rsidP="00A40EE0">
                  <w:pPr>
                    <w:widowControl/>
                    <w:spacing w:after="0" w:line="240" w:lineRule="auto"/>
                    <w:rPr>
                      <w:rFonts w:ascii="Arial" w:eastAsia="Calibri" w:hAnsi="Arial" w:cs="Arial"/>
                      <w:sz w:val="22"/>
                      <w:szCs w:val="22"/>
                    </w:rPr>
                  </w:pPr>
                  <w:r w:rsidRPr="00A40EE0">
                    <w:rPr>
                      <w:rFonts w:ascii="Arial" w:eastAsia="Calibri" w:hAnsi="Arial" w:cs="Arial"/>
                      <w:sz w:val="22"/>
                      <w:szCs w:val="22"/>
                    </w:rPr>
                    <w:t>0.48</w:t>
                  </w:r>
                </w:p>
              </w:tc>
            </w:tr>
          </w:tbl>
          <w:p w:rsidR="00A40EE0" w:rsidRPr="00A40EE0" w:rsidRDefault="00A40EE0" w:rsidP="00A40EE0">
            <w:pPr>
              <w:spacing w:after="0" w:line="240" w:lineRule="auto"/>
              <w:jc w:val="center"/>
              <w:rPr>
                <w:rFonts w:ascii="Arial" w:eastAsia="Arial" w:hAnsi="Arial" w:cs="Arial"/>
                <w:b/>
                <w:color w:val="000000"/>
                <w:sz w:val="22"/>
                <w:szCs w:val="24"/>
              </w:rPr>
            </w:pPr>
          </w:p>
          <w:p w:rsidR="00A40EE0" w:rsidRPr="00A40EE0" w:rsidRDefault="00A40EE0" w:rsidP="00A40EE0">
            <w:pPr>
              <w:spacing w:after="0" w:line="240" w:lineRule="auto"/>
              <w:rPr>
                <w:rFonts w:ascii="Arial" w:eastAsia="Arial" w:hAnsi="Arial" w:cs="Arial"/>
                <w:color w:val="000000"/>
                <w:sz w:val="20"/>
                <w:szCs w:val="20"/>
              </w:rPr>
            </w:pPr>
            <w:r w:rsidRPr="00A40EE0">
              <w:rPr>
                <w:rFonts w:ascii="Arial" w:eastAsia="Arial" w:hAnsi="Arial" w:cs="Arial"/>
                <w:color w:val="000000"/>
                <w:sz w:val="20"/>
                <w:szCs w:val="20"/>
              </w:rPr>
              <w:t>This indicator reports income inequality using the Gini coefficient. Gini index values range between zero and one. A value of one indicates perfect inequality where only one household has any income. A value of zero indicates perfect equality, where all households have equal income. San Bernardino County has a slightly lower Gini coefficient than the state.</w:t>
            </w:r>
          </w:p>
          <w:p w:rsidR="00A40EE0" w:rsidRPr="00A40EE0" w:rsidRDefault="00A40EE0" w:rsidP="00A40EE0">
            <w:pPr>
              <w:spacing w:after="0" w:line="240" w:lineRule="auto"/>
              <w:rPr>
                <w:rFonts w:ascii="Arial" w:eastAsia="Arial" w:hAnsi="Arial" w:cs="Arial"/>
                <w:color w:val="000000"/>
                <w:sz w:val="22"/>
                <w:szCs w:val="22"/>
              </w:rPr>
            </w:pPr>
          </w:p>
          <w:p w:rsidR="00A40EE0" w:rsidRPr="00A40EE0" w:rsidRDefault="00A40EE0" w:rsidP="00A40EE0">
            <w:pPr>
              <w:spacing w:after="0" w:line="240" w:lineRule="auto"/>
              <w:rPr>
                <w:rFonts w:ascii="Arial" w:eastAsia="Arial" w:hAnsi="Arial" w:cs="Arial"/>
                <w:b/>
                <w:color w:val="000000"/>
                <w:sz w:val="22"/>
                <w:szCs w:val="24"/>
              </w:rPr>
            </w:pPr>
            <w:r w:rsidRPr="00A40EE0">
              <w:rPr>
                <w:rFonts w:ascii="Arial" w:eastAsia="Open Sans" w:hAnsi="Arial" w:cs="Arial"/>
                <w:i/>
                <w:iCs/>
                <w:color w:val="555555"/>
                <w:sz w:val="18"/>
                <w:szCs w:val="18"/>
              </w:rPr>
              <w:t xml:space="preserve">Source: US Census Bureau, </w:t>
            </w:r>
            <w:hyperlink r:id="rId23" w:tgtFrame="_blank" w:history="1">
              <w:r w:rsidRPr="00A40EE0">
                <w:rPr>
                  <w:rFonts w:ascii="Arial" w:eastAsia="Open Sans" w:hAnsi="Arial" w:cs="Arial"/>
                  <w:i/>
                  <w:iCs/>
                  <w:color w:val="555555"/>
                  <w:sz w:val="18"/>
                  <w:szCs w:val="18"/>
                </w:rPr>
                <w:t>American Community Survey</w:t>
              </w:r>
            </w:hyperlink>
            <w:r w:rsidRPr="00A40EE0">
              <w:rPr>
                <w:rFonts w:ascii="Arial" w:eastAsia="Open Sans" w:hAnsi="Arial" w:cs="Arial"/>
                <w:i/>
                <w:iCs/>
                <w:color w:val="555555"/>
                <w:sz w:val="18"/>
                <w:szCs w:val="18"/>
              </w:rPr>
              <w:t>. 2010-14</w:t>
            </w:r>
          </w:p>
        </w:tc>
      </w:tr>
      <w:tr w:rsidR="008940C2" w:rsidRPr="00A40EE0" w:rsidTr="00C542D4">
        <w:trPr>
          <w:trHeight w:val="2393"/>
        </w:trPr>
        <w:tc>
          <w:tcPr>
            <w:tcW w:w="2631" w:type="pct"/>
            <w:gridSpan w:val="3"/>
            <w:tcBorders>
              <w:top w:val="nil"/>
              <w:left w:val="nil"/>
              <w:bottom w:val="nil"/>
              <w:right w:val="nil"/>
            </w:tcBorders>
          </w:tcPr>
          <w:p w:rsidR="00A40EE0" w:rsidRPr="00A40EE0" w:rsidRDefault="00A40EE0" w:rsidP="00A40EE0">
            <w:pPr>
              <w:spacing w:after="0" w:line="240" w:lineRule="auto"/>
              <w:rPr>
                <w:rFonts w:ascii="Arial" w:eastAsia="Arial" w:hAnsi="Arial" w:cs="Arial"/>
                <w:b/>
                <w:color w:val="000000"/>
                <w:sz w:val="22"/>
                <w:szCs w:val="22"/>
              </w:rPr>
            </w:pPr>
          </w:p>
          <w:tbl>
            <w:tblPr>
              <w:tblStyle w:val="TableGrid2"/>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1530"/>
            </w:tblGrid>
            <w:tr w:rsidR="00A40EE0" w:rsidRPr="00A40EE0" w:rsidTr="00221A75">
              <w:trPr>
                <w:trHeight w:val="233"/>
              </w:trPr>
              <w:tc>
                <w:tcPr>
                  <w:tcW w:w="3217" w:type="dxa"/>
                </w:tcPr>
                <w:p w:rsidR="00A40EE0" w:rsidRPr="00A40EE0" w:rsidRDefault="00A40EE0" w:rsidP="00A40EE0">
                  <w:pPr>
                    <w:widowControl/>
                    <w:spacing w:after="0" w:line="240" w:lineRule="auto"/>
                    <w:rPr>
                      <w:rFonts w:ascii="Arial" w:eastAsia="Calibri" w:hAnsi="Arial" w:cs="Arial"/>
                      <w:sz w:val="22"/>
                      <w:szCs w:val="22"/>
                    </w:rPr>
                  </w:pPr>
                  <w:r w:rsidRPr="00A40EE0">
                    <w:rPr>
                      <w:rFonts w:ascii="Arial" w:eastAsia="Calibri" w:hAnsi="Arial" w:cs="Arial"/>
                      <w:sz w:val="22"/>
                      <w:szCs w:val="22"/>
                    </w:rPr>
                    <w:t>KFH-Fontana MCSA</w:t>
                  </w:r>
                </w:p>
              </w:tc>
              <w:tc>
                <w:tcPr>
                  <w:tcW w:w="1530" w:type="dxa"/>
                </w:tcPr>
                <w:p w:rsidR="00A40EE0" w:rsidRPr="00A40EE0" w:rsidRDefault="00A40EE0" w:rsidP="00A40EE0">
                  <w:pPr>
                    <w:widowControl/>
                    <w:spacing w:after="0" w:line="240" w:lineRule="auto"/>
                    <w:rPr>
                      <w:rFonts w:ascii="Arial" w:eastAsia="Calibri" w:hAnsi="Arial" w:cs="Arial"/>
                      <w:sz w:val="22"/>
                      <w:szCs w:val="22"/>
                    </w:rPr>
                  </w:pPr>
                  <w:r w:rsidRPr="00A40EE0">
                    <w:rPr>
                      <w:rFonts w:ascii="Arial" w:eastAsia="Calibri" w:hAnsi="Arial" w:cs="Arial"/>
                      <w:sz w:val="22"/>
                      <w:szCs w:val="22"/>
                    </w:rPr>
                    <w:t>6.9</w:t>
                  </w:r>
                </w:p>
              </w:tc>
            </w:tr>
            <w:tr w:rsidR="00A40EE0" w:rsidRPr="00A40EE0" w:rsidTr="00221A75">
              <w:tc>
                <w:tcPr>
                  <w:tcW w:w="3217" w:type="dxa"/>
                </w:tcPr>
                <w:p w:rsidR="00A40EE0" w:rsidRPr="00A40EE0" w:rsidRDefault="00A40EE0" w:rsidP="00A40EE0">
                  <w:pPr>
                    <w:widowControl/>
                    <w:spacing w:after="0" w:line="240" w:lineRule="auto"/>
                    <w:rPr>
                      <w:rFonts w:ascii="Arial" w:eastAsia="Calibri" w:hAnsi="Arial" w:cs="Arial"/>
                      <w:sz w:val="22"/>
                      <w:szCs w:val="22"/>
                    </w:rPr>
                  </w:pPr>
                  <w:r w:rsidRPr="00A40EE0">
                    <w:rPr>
                      <w:rFonts w:ascii="Arial" w:eastAsia="Calibri" w:hAnsi="Arial" w:cs="Arial"/>
                      <w:sz w:val="22"/>
                      <w:szCs w:val="22"/>
                    </w:rPr>
                    <w:t>KFH-Ontario MCSA</w:t>
                  </w:r>
                </w:p>
              </w:tc>
              <w:tc>
                <w:tcPr>
                  <w:tcW w:w="1530" w:type="dxa"/>
                </w:tcPr>
                <w:p w:rsidR="00A40EE0" w:rsidRPr="00A40EE0" w:rsidRDefault="00A40EE0" w:rsidP="00A40EE0">
                  <w:pPr>
                    <w:widowControl/>
                    <w:spacing w:after="0" w:line="240" w:lineRule="auto"/>
                    <w:rPr>
                      <w:rFonts w:ascii="Arial" w:eastAsia="Calibri" w:hAnsi="Arial" w:cs="Arial"/>
                      <w:sz w:val="22"/>
                      <w:szCs w:val="22"/>
                    </w:rPr>
                  </w:pPr>
                  <w:r w:rsidRPr="00A40EE0">
                    <w:rPr>
                      <w:rFonts w:ascii="Arial" w:eastAsia="Calibri" w:hAnsi="Arial" w:cs="Arial"/>
                      <w:sz w:val="22"/>
                      <w:szCs w:val="22"/>
                    </w:rPr>
                    <w:t>7.0</w:t>
                  </w:r>
                </w:p>
              </w:tc>
            </w:tr>
            <w:tr w:rsidR="00A40EE0" w:rsidRPr="00A40EE0" w:rsidTr="00221A75">
              <w:tc>
                <w:tcPr>
                  <w:tcW w:w="3217" w:type="dxa"/>
                </w:tcPr>
                <w:p w:rsidR="00A40EE0" w:rsidRPr="00A40EE0" w:rsidRDefault="00A40EE0" w:rsidP="00A40EE0">
                  <w:pPr>
                    <w:widowControl/>
                    <w:spacing w:after="0" w:line="240" w:lineRule="auto"/>
                    <w:rPr>
                      <w:rFonts w:ascii="Arial" w:eastAsia="Calibri" w:hAnsi="Arial" w:cs="Arial"/>
                      <w:sz w:val="22"/>
                      <w:szCs w:val="22"/>
                    </w:rPr>
                  </w:pPr>
                  <w:r w:rsidRPr="00A40EE0">
                    <w:rPr>
                      <w:rFonts w:ascii="Arial" w:eastAsia="Calibri" w:hAnsi="Arial" w:cs="Arial"/>
                      <w:sz w:val="22"/>
                      <w:szCs w:val="22"/>
                    </w:rPr>
                    <w:t>S CA MCA</w:t>
                  </w:r>
                </w:p>
              </w:tc>
              <w:tc>
                <w:tcPr>
                  <w:tcW w:w="1530" w:type="dxa"/>
                </w:tcPr>
                <w:p w:rsidR="00A40EE0" w:rsidRPr="00A40EE0" w:rsidRDefault="00A40EE0" w:rsidP="00A40EE0">
                  <w:pPr>
                    <w:widowControl/>
                    <w:spacing w:after="0" w:line="240" w:lineRule="auto"/>
                    <w:rPr>
                      <w:rFonts w:ascii="Arial" w:eastAsia="Calibri" w:hAnsi="Arial" w:cs="Arial"/>
                      <w:sz w:val="22"/>
                      <w:szCs w:val="22"/>
                    </w:rPr>
                  </w:pPr>
                  <w:r w:rsidRPr="00A40EE0">
                    <w:rPr>
                      <w:rFonts w:ascii="Arial" w:eastAsia="Calibri" w:hAnsi="Arial" w:cs="Arial"/>
                      <w:sz w:val="22"/>
                      <w:szCs w:val="22"/>
                    </w:rPr>
                    <w:t>6.7</w:t>
                  </w:r>
                </w:p>
              </w:tc>
            </w:tr>
            <w:tr w:rsidR="00A40EE0" w:rsidRPr="00A40EE0" w:rsidTr="00221A75">
              <w:trPr>
                <w:trHeight w:val="360"/>
              </w:trPr>
              <w:tc>
                <w:tcPr>
                  <w:tcW w:w="3217" w:type="dxa"/>
                </w:tcPr>
                <w:p w:rsidR="00A40EE0" w:rsidRPr="00A40EE0" w:rsidRDefault="00A40EE0" w:rsidP="00A40EE0">
                  <w:pPr>
                    <w:widowControl/>
                    <w:spacing w:after="0" w:line="240" w:lineRule="auto"/>
                    <w:rPr>
                      <w:rFonts w:ascii="Arial" w:eastAsia="Calibri" w:hAnsi="Arial" w:cs="Arial"/>
                      <w:sz w:val="22"/>
                      <w:szCs w:val="22"/>
                    </w:rPr>
                  </w:pPr>
                  <w:r w:rsidRPr="00A40EE0">
                    <w:rPr>
                      <w:rFonts w:ascii="Arial" w:eastAsia="Calibri" w:hAnsi="Arial" w:cs="Arial"/>
                      <w:sz w:val="22"/>
                      <w:szCs w:val="22"/>
                    </w:rPr>
                    <w:t>California</w:t>
                  </w:r>
                </w:p>
              </w:tc>
              <w:tc>
                <w:tcPr>
                  <w:tcW w:w="1530" w:type="dxa"/>
                </w:tcPr>
                <w:p w:rsidR="00A40EE0" w:rsidRPr="00A40EE0" w:rsidRDefault="00A40EE0" w:rsidP="00A40EE0">
                  <w:pPr>
                    <w:widowControl/>
                    <w:spacing w:after="0" w:line="240" w:lineRule="auto"/>
                    <w:rPr>
                      <w:rFonts w:ascii="Arial" w:eastAsia="Calibri" w:hAnsi="Arial" w:cs="Arial"/>
                      <w:sz w:val="22"/>
                      <w:szCs w:val="22"/>
                    </w:rPr>
                  </w:pPr>
                  <w:r w:rsidRPr="00A40EE0">
                    <w:rPr>
                      <w:rFonts w:ascii="Arial" w:eastAsia="Calibri" w:hAnsi="Arial" w:cs="Arial"/>
                      <w:sz w:val="22"/>
                      <w:szCs w:val="22"/>
                    </w:rPr>
                    <w:t>6.8</w:t>
                  </w:r>
                </w:p>
              </w:tc>
            </w:tr>
          </w:tbl>
          <w:p w:rsidR="00A40EE0" w:rsidRPr="00A40EE0" w:rsidRDefault="00A40EE0" w:rsidP="00A40EE0">
            <w:pPr>
              <w:spacing w:after="0" w:line="240" w:lineRule="auto"/>
              <w:rPr>
                <w:rFonts w:ascii="Arial" w:eastAsia="Arial" w:hAnsi="Arial" w:cs="Arial"/>
                <w:color w:val="000000"/>
                <w:sz w:val="22"/>
                <w:szCs w:val="22"/>
              </w:rPr>
            </w:pPr>
          </w:p>
          <w:p w:rsidR="00A40EE0" w:rsidRPr="00A40EE0" w:rsidRDefault="00A40EE0" w:rsidP="00A40EE0">
            <w:pPr>
              <w:spacing w:after="0" w:line="240" w:lineRule="auto"/>
              <w:rPr>
                <w:rFonts w:ascii="Arial" w:eastAsia="Arial" w:hAnsi="Arial" w:cs="Arial"/>
                <w:color w:val="000000"/>
                <w:sz w:val="20"/>
                <w:szCs w:val="20"/>
              </w:rPr>
            </w:pPr>
            <w:r w:rsidRPr="00A40EE0">
              <w:rPr>
                <w:rFonts w:ascii="Arial" w:eastAsia="Arial" w:hAnsi="Arial" w:cs="Arial"/>
                <w:color w:val="000000"/>
                <w:sz w:val="20"/>
                <w:szCs w:val="20"/>
              </w:rPr>
              <w:t>KFH-Ontario Medical Center Service Area has a slightly higher unemployment rate compared to the KFH-Fontana Medical Center Service Area, S CA MCA and state.</w:t>
            </w:r>
          </w:p>
          <w:p w:rsidR="00A40EE0" w:rsidRPr="00A40EE0" w:rsidRDefault="00A40EE0" w:rsidP="00A40EE0">
            <w:pPr>
              <w:spacing w:after="0" w:line="240" w:lineRule="auto"/>
              <w:rPr>
                <w:rFonts w:ascii="Arial" w:eastAsia="Arial" w:hAnsi="Arial" w:cs="Arial"/>
                <w:color w:val="000000"/>
                <w:sz w:val="22"/>
                <w:szCs w:val="22"/>
              </w:rPr>
            </w:pPr>
          </w:p>
          <w:p w:rsidR="00A40EE0" w:rsidRPr="00A40EE0" w:rsidRDefault="00A40EE0" w:rsidP="00A40EE0">
            <w:pPr>
              <w:spacing w:after="0" w:line="240" w:lineRule="auto"/>
              <w:rPr>
                <w:rFonts w:ascii="Arial" w:eastAsia="Arial" w:hAnsi="Arial" w:cs="Arial"/>
                <w:b/>
                <w:color w:val="000000"/>
                <w:sz w:val="22"/>
                <w:szCs w:val="22"/>
              </w:rPr>
            </w:pPr>
            <w:r w:rsidRPr="00A40EE0">
              <w:rPr>
                <w:rFonts w:ascii="Arial" w:eastAsia="Open Sans" w:hAnsi="Arial" w:cs="Arial"/>
                <w:i/>
                <w:iCs/>
                <w:color w:val="555555"/>
                <w:sz w:val="18"/>
                <w:szCs w:val="18"/>
              </w:rPr>
              <w:t xml:space="preserve">Source: US Department of Labor, </w:t>
            </w:r>
            <w:hyperlink r:id="rId24" w:tgtFrame="_blank" w:history="1">
              <w:r w:rsidRPr="00A40EE0">
                <w:rPr>
                  <w:rFonts w:ascii="Arial" w:eastAsia="Open Sans" w:hAnsi="Arial" w:cs="Arial"/>
                  <w:i/>
                  <w:iCs/>
                  <w:color w:val="555555"/>
                  <w:sz w:val="18"/>
                  <w:szCs w:val="18"/>
                </w:rPr>
                <w:t>Bureau of Labor Statistics</w:t>
              </w:r>
            </w:hyperlink>
            <w:r w:rsidRPr="00A40EE0">
              <w:rPr>
                <w:rFonts w:ascii="Arial" w:eastAsia="Open Sans" w:hAnsi="Arial" w:cs="Arial"/>
                <w:i/>
                <w:iCs/>
                <w:color w:val="555555"/>
                <w:sz w:val="18"/>
                <w:szCs w:val="18"/>
              </w:rPr>
              <w:t>. 2015 - December.</w:t>
            </w:r>
          </w:p>
        </w:tc>
        <w:tc>
          <w:tcPr>
            <w:tcW w:w="2369" w:type="pct"/>
            <w:gridSpan w:val="2"/>
            <w:vMerge/>
            <w:tcBorders>
              <w:top w:val="nil"/>
              <w:left w:val="nil"/>
              <w:bottom w:val="nil"/>
              <w:right w:val="nil"/>
            </w:tcBorders>
          </w:tcPr>
          <w:p w:rsidR="00A40EE0" w:rsidRPr="00A40EE0" w:rsidRDefault="00A40EE0" w:rsidP="00A40EE0">
            <w:pPr>
              <w:spacing w:after="0" w:line="240" w:lineRule="auto"/>
              <w:rPr>
                <w:rFonts w:ascii="Arial" w:eastAsia="Arial" w:hAnsi="Arial" w:cs="Arial"/>
                <w:color w:val="000000"/>
                <w:sz w:val="22"/>
                <w:szCs w:val="22"/>
              </w:rPr>
            </w:pPr>
          </w:p>
        </w:tc>
      </w:tr>
      <w:tr w:rsidR="008940C2" w:rsidRPr="00A40EE0" w:rsidTr="00C542D4">
        <w:trPr>
          <w:trHeight w:val="4004"/>
        </w:trPr>
        <w:tc>
          <w:tcPr>
            <w:tcW w:w="2631" w:type="pct"/>
            <w:gridSpan w:val="3"/>
            <w:tcBorders>
              <w:top w:val="nil"/>
              <w:left w:val="nil"/>
              <w:bottom w:val="nil"/>
              <w:right w:val="nil"/>
            </w:tcBorders>
          </w:tcPr>
          <w:p w:rsidR="00A40EE0" w:rsidRPr="00A40EE0" w:rsidRDefault="00A40EE0" w:rsidP="00A40EE0">
            <w:pPr>
              <w:spacing w:after="0" w:line="240" w:lineRule="auto"/>
              <w:rPr>
                <w:rFonts w:ascii="Arial" w:eastAsia="Arial" w:hAnsi="Arial" w:cs="Arial"/>
                <w:color w:val="000000"/>
                <w:sz w:val="22"/>
                <w:szCs w:val="22"/>
              </w:rPr>
            </w:pPr>
          </w:p>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b/>
                <w:color w:val="000000"/>
                <w:sz w:val="22"/>
                <w:szCs w:val="22"/>
              </w:rPr>
              <w:t xml:space="preserve">Individuals below the 100% Federal Poverty Level </w:t>
            </w:r>
          </w:p>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noProof/>
                <w:color w:val="000000"/>
                <w:sz w:val="22"/>
                <w:szCs w:val="22"/>
              </w:rPr>
              <w:drawing>
                <wp:inline distT="0" distB="0" distL="0" distR="0" wp14:anchorId="67BAB4FB" wp14:editId="00BDE824">
                  <wp:extent cx="3289110" cy="1337481"/>
                  <wp:effectExtent l="0" t="0" r="698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40EE0" w:rsidRPr="00A40EE0" w:rsidRDefault="00A40EE0" w:rsidP="00A40EE0">
            <w:pPr>
              <w:spacing w:after="0" w:line="240" w:lineRule="auto"/>
              <w:rPr>
                <w:rFonts w:ascii="Arial" w:eastAsia="Arial" w:hAnsi="Arial" w:cs="Arial"/>
                <w:color w:val="000000"/>
                <w:sz w:val="20"/>
                <w:szCs w:val="20"/>
              </w:rPr>
            </w:pPr>
            <w:r w:rsidRPr="00A40EE0">
              <w:rPr>
                <w:rFonts w:ascii="Arial" w:eastAsia="Arial" w:hAnsi="Arial" w:cs="Arial"/>
                <w:color w:val="000000"/>
                <w:sz w:val="20"/>
                <w:szCs w:val="20"/>
              </w:rPr>
              <w:t xml:space="preserve">KFH-Fontana Medical Center Service Area has a higher percentage of the population living in households with income below the Federal Poverty Level. </w:t>
            </w:r>
          </w:p>
          <w:p w:rsidR="00A40EE0" w:rsidRPr="00A40EE0" w:rsidRDefault="00A40EE0" w:rsidP="00A40EE0">
            <w:pPr>
              <w:spacing w:after="0" w:line="240" w:lineRule="auto"/>
              <w:rPr>
                <w:rFonts w:ascii="Arial" w:eastAsia="Arial" w:hAnsi="Arial" w:cs="Arial"/>
                <w:b/>
                <w:color w:val="000000"/>
                <w:sz w:val="22"/>
                <w:szCs w:val="24"/>
              </w:rPr>
            </w:pPr>
            <w:r w:rsidRPr="00A40EE0">
              <w:rPr>
                <w:rFonts w:ascii="Arial" w:eastAsia="Open Sans" w:hAnsi="Arial" w:cs="Arial"/>
                <w:i/>
                <w:iCs/>
                <w:color w:val="555555"/>
                <w:sz w:val="18"/>
                <w:szCs w:val="18"/>
              </w:rPr>
              <w:t>US Census Bureau, American Community Survey. 2010-14.</w:t>
            </w:r>
          </w:p>
        </w:tc>
        <w:tc>
          <w:tcPr>
            <w:tcW w:w="2369" w:type="pct"/>
            <w:gridSpan w:val="2"/>
            <w:tcBorders>
              <w:top w:val="nil"/>
              <w:left w:val="nil"/>
              <w:bottom w:val="nil"/>
              <w:right w:val="nil"/>
            </w:tcBorders>
          </w:tcPr>
          <w:p w:rsidR="00A40EE0" w:rsidRPr="00A40EE0" w:rsidRDefault="00A40EE0" w:rsidP="00A40EE0">
            <w:pPr>
              <w:spacing w:after="0" w:line="240" w:lineRule="auto"/>
              <w:rPr>
                <w:rFonts w:ascii="Arial" w:eastAsia="Arial" w:hAnsi="Arial" w:cs="Arial"/>
                <w:b/>
                <w:color w:val="000000"/>
                <w:sz w:val="22"/>
                <w:szCs w:val="22"/>
              </w:rPr>
            </w:pPr>
          </w:p>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b/>
                <w:color w:val="000000"/>
                <w:sz w:val="22"/>
                <w:szCs w:val="22"/>
              </w:rPr>
              <w:t xml:space="preserve">Individuals below the 200% Federal Poverty Level </w:t>
            </w:r>
          </w:p>
          <w:p w:rsidR="00A40EE0" w:rsidRPr="00A40EE0" w:rsidRDefault="00A40EE0" w:rsidP="00A40EE0">
            <w:pPr>
              <w:spacing w:after="0" w:line="240" w:lineRule="auto"/>
              <w:ind w:left="-122"/>
              <w:jc w:val="center"/>
              <w:rPr>
                <w:rFonts w:ascii="Arial" w:eastAsia="Arial" w:hAnsi="Arial" w:cs="Arial"/>
                <w:color w:val="000000"/>
                <w:sz w:val="22"/>
                <w:szCs w:val="22"/>
              </w:rPr>
            </w:pPr>
            <w:r w:rsidRPr="00A40EE0">
              <w:rPr>
                <w:rFonts w:ascii="Arial" w:eastAsia="Arial" w:hAnsi="Arial" w:cs="Arial"/>
                <w:noProof/>
                <w:color w:val="000000"/>
                <w:sz w:val="22"/>
                <w:szCs w:val="22"/>
              </w:rPr>
              <w:drawing>
                <wp:inline distT="0" distB="0" distL="0" distR="0" wp14:anchorId="107F5039" wp14:editId="7F355573">
                  <wp:extent cx="3139771" cy="1335819"/>
                  <wp:effectExtent l="0" t="0" r="381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40EE0" w:rsidRPr="00A40EE0" w:rsidRDefault="00A40EE0" w:rsidP="00A40EE0">
            <w:pPr>
              <w:spacing w:after="0" w:line="240" w:lineRule="auto"/>
              <w:rPr>
                <w:rFonts w:ascii="Arial" w:eastAsia="Open Sans" w:hAnsi="Arial" w:cs="Arial"/>
                <w:i/>
                <w:iCs/>
                <w:color w:val="555555"/>
                <w:sz w:val="20"/>
                <w:szCs w:val="20"/>
              </w:rPr>
            </w:pPr>
            <w:r w:rsidRPr="00A40EE0">
              <w:rPr>
                <w:rFonts w:ascii="Arial" w:eastAsia="Arial" w:hAnsi="Arial" w:cs="Arial"/>
                <w:color w:val="000000"/>
                <w:sz w:val="20"/>
                <w:szCs w:val="20"/>
              </w:rPr>
              <w:t>KFH-Fontana Medical Center Service Area has a higher percentage of the population living in households with income below 200% of the Federal Poverty Level.</w:t>
            </w:r>
          </w:p>
          <w:p w:rsidR="00A40EE0" w:rsidRPr="00A40EE0" w:rsidRDefault="00A40EE0" w:rsidP="00A40EE0">
            <w:pPr>
              <w:spacing w:after="0" w:line="240" w:lineRule="auto"/>
              <w:rPr>
                <w:rFonts w:ascii="Arial" w:eastAsia="Open Sans" w:hAnsi="Arial" w:cs="Arial"/>
                <w:i/>
                <w:iCs/>
                <w:color w:val="555555"/>
                <w:sz w:val="18"/>
                <w:szCs w:val="18"/>
              </w:rPr>
            </w:pPr>
          </w:p>
          <w:p w:rsidR="00A40EE0" w:rsidRPr="00A40EE0" w:rsidRDefault="00A40EE0" w:rsidP="00A40EE0">
            <w:pPr>
              <w:spacing w:after="0" w:line="240" w:lineRule="auto"/>
              <w:rPr>
                <w:rFonts w:ascii="Arial" w:eastAsia="Open Sans" w:hAnsi="Arial" w:cs="Arial"/>
                <w:i/>
                <w:iCs/>
                <w:color w:val="555555"/>
                <w:sz w:val="18"/>
                <w:szCs w:val="18"/>
              </w:rPr>
            </w:pPr>
            <w:r w:rsidRPr="00A40EE0">
              <w:rPr>
                <w:rFonts w:ascii="Arial" w:eastAsia="Open Sans" w:hAnsi="Arial" w:cs="Arial"/>
                <w:i/>
                <w:iCs/>
                <w:color w:val="555555"/>
                <w:sz w:val="18"/>
                <w:szCs w:val="18"/>
              </w:rPr>
              <w:t>Source: US Census Bureau, American Community Survey. 2010-14</w:t>
            </w:r>
          </w:p>
        </w:tc>
      </w:tr>
      <w:tr w:rsidR="008940C2" w:rsidRPr="00A40EE0" w:rsidTr="00C542D4">
        <w:trPr>
          <w:trHeight w:val="3050"/>
        </w:trPr>
        <w:tc>
          <w:tcPr>
            <w:tcW w:w="2631" w:type="pct"/>
            <w:gridSpan w:val="3"/>
            <w:tcBorders>
              <w:top w:val="nil"/>
              <w:left w:val="nil"/>
              <w:bottom w:val="nil"/>
              <w:right w:val="nil"/>
            </w:tcBorders>
          </w:tcPr>
          <w:p w:rsidR="00A40EE0" w:rsidRPr="00A40EE0" w:rsidRDefault="00A40EE0" w:rsidP="00A40EE0">
            <w:pPr>
              <w:spacing w:after="0" w:line="240" w:lineRule="auto"/>
              <w:jc w:val="center"/>
              <w:rPr>
                <w:rFonts w:ascii="Arial" w:eastAsia="Arial" w:hAnsi="Arial" w:cs="Arial"/>
                <w:b/>
                <w:color w:val="000000"/>
                <w:sz w:val="22"/>
                <w:szCs w:val="22"/>
              </w:rPr>
            </w:pPr>
            <w:r w:rsidRPr="00A40EE0">
              <w:rPr>
                <w:rFonts w:ascii="Arial" w:eastAsia="Arial" w:hAnsi="Arial" w:cs="Arial"/>
                <w:b/>
                <w:color w:val="000000"/>
                <w:sz w:val="22"/>
                <w:szCs w:val="22"/>
              </w:rPr>
              <w:t xml:space="preserve">Children below the 100% Federal Poverty Level </w:t>
            </w:r>
          </w:p>
          <w:p w:rsidR="00A40EE0" w:rsidRPr="00A40EE0" w:rsidRDefault="00A40EE0" w:rsidP="00A40EE0">
            <w:pPr>
              <w:spacing w:after="0" w:line="240" w:lineRule="auto"/>
              <w:rPr>
                <w:rFonts w:ascii="Arial" w:eastAsia="Arial" w:hAnsi="Arial" w:cs="Arial"/>
                <w:b/>
                <w:color w:val="000000"/>
                <w:sz w:val="22"/>
                <w:szCs w:val="22"/>
              </w:rPr>
            </w:pPr>
          </w:p>
          <w:p w:rsidR="00A40EE0" w:rsidRPr="00A40EE0" w:rsidRDefault="00A40EE0" w:rsidP="00A40EE0">
            <w:pPr>
              <w:spacing w:after="0" w:line="240" w:lineRule="auto"/>
              <w:jc w:val="center"/>
              <w:rPr>
                <w:rFonts w:ascii="Arial" w:eastAsia="Arial" w:hAnsi="Arial" w:cs="Arial"/>
                <w:b/>
                <w:color w:val="000000"/>
                <w:sz w:val="22"/>
                <w:szCs w:val="22"/>
              </w:rPr>
            </w:pPr>
            <w:r w:rsidRPr="00A40EE0">
              <w:rPr>
                <w:rFonts w:ascii="Arial" w:eastAsia="Arial" w:hAnsi="Arial" w:cs="Arial"/>
                <w:noProof/>
                <w:color w:val="000000"/>
                <w:sz w:val="22"/>
                <w:szCs w:val="22"/>
              </w:rPr>
              <w:drawing>
                <wp:inline distT="0" distB="0" distL="0" distR="0" wp14:anchorId="522F23CB" wp14:editId="757CF3F7">
                  <wp:extent cx="3149600" cy="147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369" w:type="pct"/>
            <w:gridSpan w:val="2"/>
            <w:tcBorders>
              <w:top w:val="nil"/>
              <w:left w:val="nil"/>
              <w:bottom w:val="nil"/>
              <w:right w:val="nil"/>
            </w:tcBorders>
          </w:tcPr>
          <w:p w:rsidR="00A40EE0" w:rsidRPr="00A40EE0" w:rsidRDefault="00A40EE0" w:rsidP="00A40EE0">
            <w:pPr>
              <w:widowControl/>
              <w:spacing w:after="0" w:line="240" w:lineRule="auto"/>
              <w:rPr>
                <w:rFonts w:ascii="Arial" w:eastAsia="Times New Roman" w:hAnsi="Arial" w:cs="Arial"/>
                <w:color w:val="000000"/>
                <w:sz w:val="20"/>
                <w:szCs w:val="20"/>
              </w:rPr>
            </w:pPr>
          </w:p>
          <w:p w:rsidR="00A40EE0" w:rsidRPr="00A40EE0" w:rsidRDefault="00A40EE0" w:rsidP="00A40EE0">
            <w:pPr>
              <w:widowControl/>
              <w:spacing w:after="0" w:line="240" w:lineRule="auto"/>
              <w:rPr>
                <w:rFonts w:ascii="Arial" w:eastAsia="Times New Roman" w:hAnsi="Arial" w:cs="Arial"/>
                <w:color w:val="000000"/>
                <w:sz w:val="20"/>
                <w:szCs w:val="20"/>
              </w:rPr>
            </w:pPr>
          </w:p>
          <w:p w:rsidR="00A40EE0" w:rsidRPr="00A40EE0" w:rsidRDefault="00A40EE0" w:rsidP="00A40EE0">
            <w:pPr>
              <w:spacing w:after="0" w:line="240" w:lineRule="auto"/>
              <w:rPr>
                <w:rFonts w:ascii="Arial" w:eastAsia="Times New Roman" w:hAnsi="Arial" w:cs="Arial"/>
                <w:color w:val="000000"/>
                <w:sz w:val="20"/>
                <w:szCs w:val="20"/>
              </w:rPr>
            </w:pPr>
          </w:p>
          <w:p w:rsidR="00A40EE0" w:rsidRPr="00A40EE0" w:rsidRDefault="00A40EE0" w:rsidP="00A40EE0">
            <w:pPr>
              <w:spacing w:after="0" w:line="240" w:lineRule="auto"/>
              <w:rPr>
                <w:rFonts w:ascii="Arial" w:eastAsia="Times New Roman" w:hAnsi="Arial" w:cs="Arial"/>
                <w:color w:val="000000"/>
                <w:sz w:val="20"/>
                <w:szCs w:val="20"/>
              </w:rPr>
            </w:pPr>
          </w:p>
          <w:p w:rsidR="00A40EE0" w:rsidRPr="00A40EE0" w:rsidRDefault="00A40EE0" w:rsidP="00A40EE0">
            <w:pPr>
              <w:spacing w:after="0" w:line="240" w:lineRule="auto"/>
              <w:rPr>
                <w:rFonts w:ascii="Arial" w:eastAsia="Times New Roman" w:hAnsi="Arial" w:cs="Arial"/>
                <w:color w:val="000000"/>
                <w:sz w:val="20"/>
                <w:szCs w:val="20"/>
              </w:rPr>
            </w:pPr>
            <w:r w:rsidRPr="00A40EE0">
              <w:rPr>
                <w:rFonts w:ascii="Arial" w:eastAsia="Times New Roman" w:hAnsi="Arial" w:cs="Arial"/>
                <w:color w:val="000000"/>
                <w:sz w:val="20"/>
                <w:szCs w:val="20"/>
              </w:rPr>
              <w:t xml:space="preserve">This indicator reports the percentage of children age 0-17 living in households with income below the Federal Poverty Level. A higher percentage of children age 0-17 in the KFH-Fontana Medical Center Service Area live in households at or below the Federal Poverty Level. </w:t>
            </w:r>
          </w:p>
          <w:p w:rsidR="00A40EE0" w:rsidRPr="00A40EE0" w:rsidRDefault="00A40EE0" w:rsidP="00A40EE0">
            <w:pPr>
              <w:spacing w:after="0" w:line="240" w:lineRule="auto"/>
              <w:rPr>
                <w:rFonts w:ascii="Arial" w:eastAsia="Arial" w:hAnsi="Arial" w:cs="Arial"/>
                <w:color w:val="000000"/>
                <w:sz w:val="22"/>
                <w:szCs w:val="22"/>
              </w:rPr>
            </w:pPr>
          </w:p>
          <w:p w:rsidR="00A40EE0" w:rsidRPr="00A40EE0" w:rsidRDefault="00A40EE0" w:rsidP="00A40EE0">
            <w:pPr>
              <w:widowControl/>
              <w:spacing w:after="0" w:line="240" w:lineRule="auto"/>
              <w:rPr>
                <w:rFonts w:ascii="Arial" w:eastAsia="Times New Roman" w:hAnsi="Arial" w:cs="Arial"/>
                <w:i/>
                <w:color w:val="000000"/>
                <w:sz w:val="18"/>
                <w:szCs w:val="18"/>
              </w:rPr>
            </w:pPr>
            <w:r w:rsidRPr="00A40EE0">
              <w:rPr>
                <w:rFonts w:ascii="Arial" w:eastAsia="Calibri" w:hAnsi="Arial" w:cs="Arial"/>
                <w:i/>
                <w:sz w:val="18"/>
                <w:szCs w:val="18"/>
              </w:rPr>
              <w:t>Source:</w:t>
            </w:r>
            <w:r w:rsidRPr="00A40EE0">
              <w:rPr>
                <w:rFonts w:ascii="Arial" w:eastAsia="Calibri" w:hAnsi="Arial" w:cs="Arial"/>
                <w:i/>
                <w:color w:val="000000"/>
                <w:sz w:val="18"/>
                <w:szCs w:val="18"/>
              </w:rPr>
              <w:t xml:space="preserve"> </w:t>
            </w:r>
            <w:r w:rsidRPr="00A40EE0">
              <w:rPr>
                <w:rFonts w:ascii="Arial" w:eastAsia="Times New Roman" w:hAnsi="Arial" w:cs="Arial"/>
                <w:i/>
                <w:color w:val="000000"/>
                <w:sz w:val="18"/>
                <w:szCs w:val="18"/>
              </w:rPr>
              <w:t>US Census Bureau, American Community Survey. 2010-14</w:t>
            </w:r>
          </w:p>
        </w:tc>
      </w:tr>
      <w:tr w:rsidR="00A40EE0" w:rsidRPr="00A40EE0" w:rsidTr="00C542D4">
        <w:trPr>
          <w:trHeight w:val="3050"/>
        </w:trPr>
        <w:tc>
          <w:tcPr>
            <w:tcW w:w="5000" w:type="pct"/>
            <w:gridSpan w:val="5"/>
            <w:tcBorders>
              <w:top w:val="nil"/>
              <w:left w:val="nil"/>
              <w:bottom w:val="nil"/>
              <w:right w:val="nil"/>
            </w:tcBorders>
          </w:tcPr>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b/>
                <w:color w:val="000000"/>
                <w:sz w:val="22"/>
                <w:szCs w:val="22"/>
              </w:rPr>
              <w:t xml:space="preserve">Free and Reduced Priced Lunch. </w:t>
            </w:r>
            <w:r w:rsidRPr="00A40EE0">
              <w:rPr>
                <w:rFonts w:ascii="Arial" w:eastAsia="Arial" w:hAnsi="Arial" w:cs="Arial"/>
                <w:color w:val="000000"/>
                <w:sz w:val="22"/>
                <w:szCs w:val="22"/>
              </w:rPr>
              <w:t xml:space="preserve">This indicator reports the percentage of public school students eligible for free or reduced price lunches. This indicator is relevant because it assesses vulnerable populations which are more likely to have multiple health access, health status, and social support needs. Additionally, when combined with poverty data, providers can use this measure to identify gaps in eligibility and enrollment. </w:t>
            </w:r>
          </w:p>
          <w:p w:rsidR="00A40EE0" w:rsidRPr="00A40EE0" w:rsidRDefault="00A40EE0" w:rsidP="00A40EE0">
            <w:pPr>
              <w:spacing w:after="0" w:line="240" w:lineRule="auto"/>
              <w:rPr>
                <w:rFonts w:ascii="Arial" w:eastAsia="Arial" w:hAnsi="Arial" w:cs="Arial"/>
                <w:color w:val="000000"/>
                <w:sz w:val="22"/>
                <w:szCs w:val="22"/>
              </w:rPr>
            </w:pPr>
          </w:p>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color w:val="000000"/>
                <w:sz w:val="22"/>
                <w:szCs w:val="22"/>
              </w:rPr>
              <w:t>KFH-Fontana Medical Center Service Area has a higher percentage of children eligible for free/reduced price lunch compared to the KFH-Ontario Medical Center Service Area, the S CA MCA and state.</w:t>
            </w:r>
          </w:p>
          <w:p w:rsidR="00A40EE0" w:rsidRPr="00A40EE0" w:rsidRDefault="00A40EE0" w:rsidP="00A40EE0">
            <w:pPr>
              <w:spacing w:after="0" w:line="240" w:lineRule="auto"/>
              <w:jc w:val="center"/>
              <w:rPr>
                <w:rFonts w:ascii="Arial" w:eastAsia="Arial" w:hAnsi="Arial" w:cs="Arial"/>
                <w:b/>
                <w:color w:val="000000"/>
                <w:sz w:val="20"/>
                <w:szCs w:val="20"/>
              </w:rPr>
            </w:pPr>
          </w:p>
          <w:p w:rsidR="00A40EE0" w:rsidRPr="00A40EE0" w:rsidRDefault="00A40EE0" w:rsidP="00A40EE0">
            <w:pPr>
              <w:spacing w:after="0" w:line="240" w:lineRule="auto"/>
              <w:jc w:val="center"/>
              <w:rPr>
                <w:rFonts w:ascii="Arial" w:eastAsia="Arial" w:hAnsi="Arial" w:cs="Arial"/>
                <w:b/>
                <w:color w:val="000000"/>
                <w:sz w:val="22"/>
                <w:szCs w:val="22"/>
              </w:rPr>
            </w:pPr>
            <w:r w:rsidRPr="00A40EE0">
              <w:rPr>
                <w:rFonts w:ascii="Arial" w:eastAsia="Arial" w:hAnsi="Arial" w:cs="Arial"/>
                <w:b/>
                <w:color w:val="000000"/>
                <w:sz w:val="22"/>
                <w:szCs w:val="22"/>
              </w:rPr>
              <w:t>Percent of Children Eligible for Free/Reduced Price Lunch</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461"/>
              <w:gridCol w:w="2461"/>
              <w:gridCol w:w="2461"/>
              <w:gridCol w:w="2461"/>
            </w:tblGrid>
            <w:tr w:rsidR="00A40EE0" w:rsidRPr="00A40EE0" w:rsidTr="00221A75">
              <w:trPr>
                <w:trHeight w:val="261"/>
              </w:trPr>
              <w:tc>
                <w:tcPr>
                  <w:tcW w:w="1250" w:type="pct"/>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KFH-Fontana MCSA</w:t>
                  </w:r>
                </w:p>
              </w:tc>
              <w:tc>
                <w:tcPr>
                  <w:tcW w:w="1250" w:type="pct"/>
                  <w:tcBorders>
                    <w:right w:val="single" w:sz="4" w:space="0" w:color="auto"/>
                  </w:tcBorders>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FFFFFF"/>
                      <w:sz w:val="22"/>
                      <w:szCs w:val="22"/>
                    </w:rPr>
                  </w:pPr>
                  <w:r w:rsidRPr="00A40EE0">
                    <w:rPr>
                      <w:rFonts w:ascii="Arial" w:eastAsia="Arial" w:hAnsi="Arial" w:cs="Arial"/>
                      <w:color w:val="FFFFFF"/>
                      <w:sz w:val="22"/>
                      <w:szCs w:val="22"/>
                    </w:rPr>
                    <w:t>KFH-Ontario MCSA</w:t>
                  </w:r>
                </w:p>
              </w:tc>
              <w:tc>
                <w:tcPr>
                  <w:tcW w:w="1250" w:type="pct"/>
                  <w:tcBorders>
                    <w:left w:val="single" w:sz="4" w:space="0" w:color="auto"/>
                  </w:tcBorders>
                  <w:shd w:val="clear" w:color="auto" w:fill="000000"/>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S CA MCA</w:t>
                  </w:r>
                </w:p>
              </w:tc>
              <w:tc>
                <w:tcPr>
                  <w:tcW w:w="1250" w:type="pct"/>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California</w:t>
                  </w:r>
                </w:p>
              </w:tc>
            </w:tr>
            <w:tr w:rsidR="00A40EE0" w:rsidRPr="00A40EE0" w:rsidTr="00221A75">
              <w:trPr>
                <w:trHeight w:val="286"/>
              </w:trPr>
              <w:tc>
                <w:tcPr>
                  <w:tcW w:w="1250" w:type="pct"/>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74.0%</w:t>
                  </w:r>
                </w:p>
              </w:tc>
              <w:tc>
                <w:tcPr>
                  <w:tcW w:w="1250" w:type="pct"/>
                  <w:tcBorders>
                    <w:right w:val="single" w:sz="4" w:space="0" w:color="auto"/>
                  </w:tcBorders>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57.9%</w:t>
                  </w:r>
                </w:p>
              </w:tc>
              <w:tc>
                <w:tcPr>
                  <w:tcW w:w="1250" w:type="pct"/>
                  <w:tcBorders>
                    <w:left w:val="single" w:sz="4" w:space="0" w:color="auto"/>
                  </w:tcBorders>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57.8%</w:t>
                  </w:r>
                </w:p>
              </w:tc>
              <w:tc>
                <w:tcPr>
                  <w:tcW w:w="1250" w:type="pct"/>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56.3%</w:t>
                  </w:r>
                </w:p>
              </w:tc>
            </w:tr>
          </w:tbl>
          <w:p w:rsidR="00A40EE0" w:rsidRPr="00A40EE0" w:rsidRDefault="00A40EE0" w:rsidP="00A40EE0">
            <w:pPr>
              <w:spacing w:after="0" w:line="240" w:lineRule="auto"/>
              <w:rPr>
                <w:rFonts w:ascii="Arial" w:eastAsia="Arial" w:hAnsi="Arial" w:cs="Arial"/>
                <w:i/>
                <w:iCs/>
                <w:color w:val="737373"/>
                <w:sz w:val="18"/>
                <w:szCs w:val="18"/>
              </w:rPr>
            </w:pPr>
            <w:r w:rsidRPr="00A40EE0">
              <w:rPr>
                <w:rFonts w:ascii="Arial" w:eastAsia="Arial" w:hAnsi="Arial" w:cs="Arial"/>
                <w:i/>
                <w:color w:val="737373"/>
                <w:sz w:val="18"/>
                <w:szCs w:val="18"/>
              </w:rPr>
              <w:t xml:space="preserve">Source: </w:t>
            </w:r>
            <w:r w:rsidRPr="00A40EE0">
              <w:rPr>
                <w:rFonts w:ascii="Arial" w:eastAsia="Arial" w:hAnsi="Arial" w:cs="Arial"/>
                <w:i/>
                <w:iCs/>
                <w:color w:val="737373"/>
                <w:sz w:val="18"/>
                <w:szCs w:val="18"/>
              </w:rPr>
              <w:t>National Center for Education Statistics, NCES - Common Core of Data. 2013-14.</w:t>
            </w:r>
          </w:p>
          <w:p w:rsidR="00A40EE0" w:rsidRPr="00A40EE0" w:rsidRDefault="00A40EE0" w:rsidP="00A40EE0">
            <w:pPr>
              <w:spacing w:after="0" w:line="240" w:lineRule="auto"/>
              <w:rPr>
                <w:rFonts w:ascii="Arial" w:eastAsia="Arial" w:hAnsi="Arial" w:cs="Arial"/>
                <w:i/>
                <w:iCs/>
                <w:color w:val="737373"/>
                <w:sz w:val="18"/>
                <w:szCs w:val="18"/>
              </w:rPr>
            </w:pPr>
          </w:p>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b/>
                <w:color w:val="000000"/>
                <w:sz w:val="22"/>
                <w:szCs w:val="22"/>
              </w:rPr>
              <w:t xml:space="preserve">SNAP. </w:t>
            </w:r>
            <w:r w:rsidRPr="00A40EE0">
              <w:rPr>
                <w:rFonts w:ascii="Arial" w:eastAsia="Arial" w:hAnsi="Arial" w:cs="Arial"/>
                <w:color w:val="000000"/>
                <w:sz w:val="22"/>
                <w:szCs w:val="22"/>
              </w:rPr>
              <w:t>This indicator reports the average percentage of the population receiving the Supplemental Nutrition Assistance Program (SNAP) benefits between the months of July 2010 and July 2011. This indicator is relevant because it assesses vulnerable populations which are more likely to have multiple health access, health status, and social support needs; when combined with poverty data, providers can use this measure to identify gaps in eligibility and enrollment. The KFH-Fontana/Ontario Medical Center Service Areas have a higher percentage of the population receiving SNAP benefits compared to the S CA MCA and state.</w:t>
            </w:r>
          </w:p>
          <w:p w:rsidR="00A40EE0" w:rsidRPr="00A40EE0" w:rsidRDefault="00A40EE0" w:rsidP="00A40EE0">
            <w:pPr>
              <w:spacing w:after="0" w:line="240" w:lineRule="auto"/>
              <w:rPr>
                <w:rFonts w:ascii="Arial" w:eastAsia="Arial" w:hAnsi="Arial" w:cs="Arial"/>
                <w:color w:val="000000"/>
                <w:sz w:val="22"/>
                <w:szCs w:val="22"/>
              </w:rPr>
            </w:pPr>
          </w:p>
          <w:p w:rsidR="00A40EE0" w:rsidRPr="00A40EE0" w:rsidRDefault="00A40EE0" w:rsidP="00A40EE0">
            <w:pPr>
              <w:spacing w:after="0" w:line="240" w:lineRule="auto"/>
              <w:jc w:val="center"/>
              <w:rPr>
                <w:rFonts w:ascii="Arial" w:eastAsia="Arial" w:hAnsi="Arial" w:cs="Arial"/>
                <w:b/>
                <w:color w:val="000000"/>
                <w:sz w:val="22"/>
                <w:szCs w:val="22"/>
              </w:rPr>
            </w:pPr>
            <w:r w:rsidRPr="00A40EE0">
              <w:rPr>
                <w:rFonts w:ascii="Arial" w:eastAsia="Arial" w:hAnsi="Arial" w:cs="Arial"/>
                <w:b/>
                <w:color w:val="000000"/>
                <w:sz w:val="22"/>
                <w:szCs w:val="22"/>
              </w:rPr>
              <w:t xml:space="preserve">Percent of Population Receiving SNAP Benefits </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45"/>
              <w:gridCol w:w="2545"/>
              <w:gridCol w:w="2545"/>
              <w:gridCol w:w="2545"/>
            </w:tblGrid>
            <w:tr w:rsidR="00A40EE0" w:rsidRPr="00A40EE0" w:rsidTr="00221A75">
              <w:trPr>
                <w:trHeight w:val="261"/>
              </w:trPr>
              <w:tc>
                <w:tcPr>
                  <w:tcW w:w="2545" w:type="dxa"/>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KFH-Fontana MCSA</w:t>
                  </w:r>
                </w:p>
              </w:tc>
              <w:tc>
                <w:tcPr>
                  <w:tcW w:w="2545" w:type="dxa"/>
                  <w:tcBorders>
                    <w:right w:val="single" w:sz="4" w:space="0" w:color="auto"/>
                  </w:tcBorders>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FFFFFF"/>
                      <w:sz w:val="22"/>
                      <w:szCs w:val="22"/>
                    </w:rPr>
                  </w:pPr>
                  <w:r w:rsidRPr="00A40EE0">
                    <w:rPr>
                      <w:rFonts w:ascii="Arial" w:eastAsia="Arial" w:hAnsi="Arial" w:cs="Arial"/>
                      <w:color w:val="FFFFFF"/>
                      <w:sz w:val="22"/>
                      <w:szCs w:val="22"/>
                    </w:rPr>
                    <w:t>KFH-Ontario MCSA</w:t>
                  </w:r>
                </w:p>
              </w:tc>
              <w:tc>
                <w:tcPr>
                  <w:tcW w:w="2545" w:type="dxa"/>
                  <w:tcBorders>
                    <w:left w:val="single" w:sz="4" w:space="0" w:color="auto"/>
                  </w:tcBorders>
                  <w:shd w:val="clear" w:color="auto" w:fill="000000"/>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S CA MCA</w:t>
                  </w:r>
                </w:p>
              </w:tc>
              <w:tc>
                <w:tcPr>
                  <w:tcW w:w="2545" w:type="dxa"/>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California</w:t>
                  </w:r>
                </w:p>
              </w:tc>
            </w:tr>
            <w:tr w:rsidR="00A40EE0" w:rsidRPr="00A40EE0" w:rsidTr="00221A75">
              <w:trPr>
                <w:trHeight w:val="286"/>
              </w:trPr>
              <w:tc>
                <w:tcPr>
                  <w:tcW w:w="2545" w:type="dxa"/>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16.5%</w:t>
                  </w:r>
                </w:p>
              </w:tc>
              <w:tc>
                <w:tcPr>
                  <w:tcW w:w="2545" w:type="dxa"/>
                  <w:tcBorders>
                    <w:right w:val="single" w:sz="4" w:space="0" w:color="auto"/>
                  </w:tcBorders>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15.5%</w:t>
                  </w:r>
                </w:p>
              </w:tc>
              <w:tc>
                <w:tcPr>
                  <w:tcW w:w="2545" w:type="dxa"/>
                  <w:tcBorders>
                    <w:left w:val="single" w:sz="4" w:space="0" w:color="auto"/>
                  </w:tcBorders>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10.4%</w:t>
                  </w:r>
                </w:p>
              </w:tc>
              <w:tc>
                <w:tcPr>
                  <w:tcW w:w="2545" w:type="dxa"/>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10.6%</w:t>
                  </w:r>
                </w:p>
              </w:tc>
            </w:tr>
          </w:tbl>
          <w:p w:rsidR="00A40EE0" w:rsidRPr="00A40EE0" w:rsidRDefault="00A40EE0" w:rsidP="00A40EE0">
            <w:pPr>
              <w:spacing w:after="0" w:line="240" w:lineRule="auto"/>
              <w:rPr>
                <w:rFonts w:ascii="Arial" w:eastAsia="Arial" w:hAnsi="Arial" w:cs="Arial"/>
                <w:i/>
                <w:iCs/>
                <w:color w:val="737373"/>
                <w:sz w:val="18"/>
                <w:szCs w:val="18"/>
              </w:rPr>
            </w:pPr>
            <w:r w:rsidRPr="00A40EE0">
              <w:rPr>
                <w:rFonts w:ascii="Arial" w:eastAsia="Arial" w:hAnsi="Arial" w:cs="Arial"/>
                <w:i/>
                <w:color w:val="737373"/>
                <w:sz w:val="18"/>
                <w:szCs w:val="18"/>
              </w:rPr>
              <w:t xml:space="preserve">Source: </w:t>
            </w:r>
            <w:r w:rsidRPr="00A40EE0">
              <w:rPr>
                <w:rFonts w:ascii="Arial" w:eastAsia="Arial" w:hAnsi="Arial" w:cs="Arial"/>
                <w:i/>
                <w:iCs/>
                <w:color w:val="737373"/>
                <w:sz w:val="18"/>
                <w:szCs w:val="18"/>
              </w:rPr>
              <w:t>US Census Bureau, Small Area Income and Poverty Estimates. 2011.</w:t>
            </w:r>
          </w:p>
          <w:p w:rsidR="00A40EE0" w:rsidRPr="00A40EE0" w:rsidRDefault="00A40EE0" w:rsidP="00A40EE0">
            <w:pPr>
              <w:spacing w:after="0" w:line="240" w:lineRule="auto"/>
              <w:rPr>
                <w:rFonts w:ascii="Arial" w:eastAsia="Arial" w:hAnsi="Arial" w:cs="Arial"/>
                <w:i/>
                <w:iCs/>
                <w:color w:val="737373"/>
                <w:sz w:val="18"/>
                <w:szCs w:val="18"/>
              </w:rPr>
            </w:pPr>
          </w:p>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b/>
                <w:color w:val="000000"/>
                <w:sz w:val="22"/>
                <w:szCs w:val="22"/>
              </w:rPr>
              <w:t xml:space="preserve">High School Graduation. </w:t>
            </w:r>
            <w:r w:rsidRPr="00A40EE0">
              <w:rPr>
                <w:rFonts w:ascii="Arial" w:eastAsia="Arial" w:hAnsi="Arial" w:cs="Arial"/>
                <w:color w:val="000000"/>
                <w:sz w:val="22"/>
                <w:szCs w:val="22"/>
              </w:rPr>
              <w:t>This indicator reports the cohort high school graduation rate, which measures the percentage of students receiving their high school diploma within four years. This indicator is relevant because low levels of education are often linked to poverty and poor health. The KFH-Ontario Medical Center Service Area has a higher graduation rate compared to the KFH-Fontana Medical Center Service Area, S CA MCA and state.</w:t>
            </w:r>
          </w:p>
          <w:p w:rsidR="00A40EE0" w:rsidRPr="00A40EE0" w:rsidRDefault="00A40EE0" w:rsidP="00A40EE0">
            <w:pPr>
              <w:spacing w:after="0" w:line="240" w:lineRule="auto"/>
              <w:rPr>
                <w:rFonts w:ascii="Arial" w:eastAsia="Arial" w:hAnsi="Arial" w:cs="Arial"/>
                <w:color w:val="000000"/>
                <w:sz w:val="22"/>
                <w:szCs w:val="22"/>
              </w:rPr>
            </w:pPr>
          </w:p>
          <w:p w:rsidR="00A40EE0" w:rsidRPr="00A40EE0" w:rsidRDefault="00A40EE0" w:rsidP="00A40EE0">
            <w:pPr>
              <w:spacing w:after="0" w:line="240" w:lineRule="auto"/>
              <w:rPr>
                <w:rFonts w:ascii="Arial" w:eastAsia="Arial" w:hAnsi="Arial" w:cs="Arial"/>
                <w:color w:val="000000"/>
                <w:sz w:val="22"/>
                <w:szCs w:val="22"/>
              </w:rPr>
            </w:pPr>
          </w:p>
          <w:p w:rsidR="00A40EE0" w:rsidRPr="00A40EE0" w:rsidRDefault="00A40EE0" w:rsidP="00A40EE0">
            <w:pPr>
              <w:spacing w:after="0" w:line="240" w:lineRule="auto"/>
              <w:jc w:val="center"/>
              <w:rPr>
                <w:rFonts w:ascii="Arial" w:eastAsia="Arial" w:hAnsi="Arial" w:cs="Arial"/>
                <w:b/>
                <w:color w:val="000000"/>
                <w:sz w:val="22"/>
                <w:szCs w:val="22"/>
              </w:rPr>
            </w:pPr>
            <w:r w:rsidRPr="00A40EE0">
              <w:rPr>
                <w:rFonts w:ascii="Arial" w:eastAsia="Arial" w:hAnsi="Arial" w:cs="Arial"/>
                <w:b/>
                <w:color w:val="000000"/>
                <w:sz w:val="22"/>
                <w:szCs w:val="22"/>
              </w:rPr>
              <w:t>Cohort Graduation Rate</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45"/>
              <w:gridCol w:w="2545"/>
              <w:gridCol w:w="2545"/>
              <w:gridCol w:w="2545"/>
            </w:tblGrid>
            <w:tr w:rsidR="00A40EE0" w:rsidRPr="00A40EE0" w:rsidTr="00221A75">
              <w:trPr>
                <w:trHeight w:val="261"/>
              </w:trPr>
              <w:tc>
                <w:tcPr>
                  <w:tcW w:w="2545" w:type="dxa"/>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KFH-Fontana MCSA</w:t>
                  </w:r>
                </w:p>
              </w:tc>
              <w:tc>
                <w:tcPr>
                  <w:tcW w:w="2545" w:type="dxa"/>
                  <w:tcBorders>
                    <w:right w:val="single" w:sz="4" w:space="0" w:color="auto"/>
                  </w:tcBorders>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FFFFFF"/>
                      <w:sz w:val="22"/>
                      <w:szCs w:val="22"/>
                    </w:rPr>
                  </w:pPr>
                  <w:r w:rsidRPr="00A40EE0">
                    <w:rPr>
                      <w:rFonts w:ascii="Arial" w:eastAsia="Arial" w:hAnsi="Arial" w:cs="Arial"/>
                      <w:color w:val="FFFFFF"/>
                      <w:sz w:val="22"/>
                      <w:szCs w:val="22"/>
                    </w:rPr>
                    <w:t>KFH-Ontario MCSA</w:t>
                  </w:r>
                </w:p>
              </w:tc>
              <w:tc>
                <w:tcPr>
                  <w:tcW w:w="2545" w:type="dxa"/>
                  <w:tcBorders>
                    <w:left w:val="single" w:sz="4" w:space="0" w:color="auto"/>
                  </w:tcBorders>
                  <w:shd w:val="clear" w:color="auto" w:fill="000000"/>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S CA MCA</w:t>
                  </w:r>
                </w:p>
              </w:tc>
              <w:tc>
                <w:tcPr>
                  <w:tcW w:w="2545" w:type="dxa"/>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California</w:t>
                  </w:r>
                </w:p>
              </w:tc>
            </w:tr>
            <w:tr w:rsidR="00A40EE0" w:rsidRPr="00A40EE0" w:rsidTr="00221A75">
              <w:trPr>
                <w:trHeight w:val="286"/>
              </w:trPr>
              <w:tc>
                <w:tcPr>
                  <w:tcW w:w="2545" w:type="dxa"/>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80.1</w:t>
                  </w:r>
                </w:p>
              </w:tc>
              <w:tc>
                <w:tcPr>
                  <w:tcW w:w="2545" w:type="dxa"/>
                  <w:tcBorders>
                    <w:right w:val="single" w:sz="4" w:space="0" w:color="auto"/>
                  </w:tcBorders>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87.7</w:t>
                  </w:r>
                </w:p>
              </w:tc>
              <w:tc>
                <w:tcPr>
                  <w:tcW w:w="2545" w:type="dxa"/>
                  <w:tcBorders>
                    <w:left w:val="single" w:sz="4" w:space="0" w:color="auto"/>
                  </w:tcBorders>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82.6</w:t>
                  </w:r>
                </w:p>
              </w:tc>
              <w:tc>
                <w:tcPr>
                  <w:tcW w:w="2545" w:type="dxa"/>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80.4</w:t>
                  </w:r>
                </w:p>
              </w:tc>
            </w:tr>
          </w:tbl>
          <w:p w:rsidR="00A40EE0" w:rsidRPr="00A40EE0" w:rsidRDefault="00A40EE0" w:rsidP="00A40EE0">
            <w:pPr>
              <w:spacing w:after="0" w:line="240" w:lineRule="auto"/>
              <w:ind w:left="50"/>
              <w:rPr>
                <w:rFonts w:ascii="Arial" w:eastAsia="Arial" w:hAnsi="Arial" w:cs="Arial"/>
                <w:i/>
                <w:iCs/>
                <w:color w:val="737373"/>
                <w:sz w:val="18"/>
                <w:szCs w:val="18"/>
              </w:rPr>
            </w:pPr>
            <w:r w:rsidRPr="00A40EE0">
              <w:rPr>
                <w:rFonts w:ascii="Arial" w:eastAsia="Arial" w:hAnsi="Arial" w:cs="Arial"/>
                <w:i/>
                <w:color w:val="737373"/>
                <w:sz w:val="18"/>
                <w:szCs w:val="18"/>
              </w:rPr>
              <w:t xml:space="preserve">Source: </w:t>
            </w:r>
            <w:r w:rsidRPr="00A40EE0">
              <w:rPr>
                <w:rFonts w:ascii="Arial" w:eastAsia="Arial" w:hAnsi="Arial" w:cs="Arial"/>
                <w:i/>
                <w:iCs/>
                <w:color w:val="737373"/>
                <w:sz w:val="18"/>
                <w:szCs w:val="18"/>
              </w:rPr>
              <w:t>California Department of Education, 2013.</w:t>
            </w:r>
          </w:p>
          <w:p w:rsidR="00A40EE0" w:rsidRPr="00A40EE0" w:rsidRDefault="00A40EE0" w:rsidP="00A40EE0">
            <w:pPr>
              <w:spacing w:after="0" w:line="240" w:lineRule="auto"/>
              <w:ind w:left="50"/>
              <w:rPr>
                <w:rFonts w:ascii="Arial" w:eastAsia="Arial" w:hAnsi="Arial" w:cs="Arial"/>
                <w:i/>
                <w:iCs/>
                <w:color w:val="737373"/>
                <w:sz w:val="18"/>
                <w:szCs w:val="18"/>
              </w:rPr>
            </w:pPr>
          </w:p>
          <w:p w:rsidR="00A40EE0" w:rsidRPr="00A40EE0" w:rsidRDefault="00A40EE0" w:rsidP="00A40EE0">
            <w:pPr>
              <w:spacing w:after="0" w:line="240" w:lineRule="auto"/>
              <w:ind w:left="50"/>
              <w:rPr>
                <w:rFonts w:ascii="Arial" w:eastAsia="Arial" w:hAnsi="Arial" w:cs="Arial"/>
                <w:color w:val="000000"/>
                <w:sz w:val="22"/>
                <w:szCs w:val="22"/>
              </w:rPr>
            </w:pPr>
            <w:r w:rsidRPr="00A40EE0">
              <w:rPr>
                <w:rFonts w:ascii="Arial" w:eastAsia="Arial" w:hAnsi="Arial" w:cs="Arial"/>
                <w:b/>
                <w:color w:val="000000"/>
                <w:sz w:val="22"/>
                <w:szCs w:val="22"/>
              </w:rPr>
              <w:t xml:space="preserve">Student Reading Proficiency. </w:t>
            </w:r>
            <w:r w:rsidRPr="00A40EE0">
              <w:rPr>
                <w:rFonts w:ascii="Arial" w:eastAsia="Arial" w:hAnsi="Arial" w:cs="Arial"/>
                <w:color w:val="000000"/>
                <w:sz w:val="22"/>
                <w:szCs w:val="22"/>
              </w:rPr>
              <w:t xml:space="preserve">This indicator reports the percentage of children in grade 4 whose reading skills tested below the "proficient" level for the CST English Language Arts portion of the California STAR test. Although more recent data suggest lower reading proficiency, these data are still in pilot stages. Therefore, we elected to use older data sources. This indicator is relevant because an inability to read English well is linked to poverty, unemployment, and barriers to healthcare access, provider communications, and health literacy/education. A higher percentage of students in the KFH-Fontana/Ontario Medical Center Service Areas are reading below proficiency compared to the S CA MCA and state. </w:t>
            </w:r>
          </w:p>
          <w:p w:rsidR="00A40EE0" w:rsidRPr="00A40EE0" w:rsidRDefault="00A40EE0" w:rsidP="00A40EE0">
            <w:pPr>
              <w:spacing w:after="0" w:line="240" w:lineRule="auto"/>
              <w:jc w:val="center"/>
              <w:rPr>
                <w:rFonts w:ascii="Arial" w:eastAsia="Arial" w:hAnsi="Arial" w:cs="Arial"/>
                <w:b/>
                <w:color w:val="000000"/>
                <w:sz w:val="22"/>
                <w:szCs w:val="22"/>
              </w:rPr>
            </w:pPr>
          </w:p>
          <w:p w:rsidR="00A40EE0" w:rsidRPr="00A40EE0" w:rsidRDefault="00A40EE0" w:rsidP="00A40EE0">
            <w:pPr>
              <w:spacing w:after="0" w:line="240" w:lineRule="auto"/>
              <w:jc w:val="center"/>
              <w:rPr>
                <w:rFonts w:ascii="Arial" w:eastAsia="Arial" w:hAnsi="Arial" w:cs="Arial"/>
                <w:b/>
                <w:color w:val="000000"/>
                <w:sz w:val="22"/>
                <w:szCs w:val="22"/>
              </w:rPr>
            </w:pPr>
            <w:r w:rsidRPr="00A40EE0">
              <w:rPr>
                <w:rFonts w:ascii="Arial" w:eastAsia="Arial" w:hAnsi="Arial" w:cs="Arial"/>
                <w:b/>
                <w:color w:val="000000"/>
                <w:sz w:val="22"/>
                <w:szCs w:val="22"/>
              </w:rPr>
              <w:t>Percent of Grade 4 Students Reading Below Proficiency</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45"/>
              <w:gridCol w:w="2545"/>
              <w:gridCol w:w="2545"/>
              <w:gridCol w:w="2545"/>
            </w:tblGrid>
            <w:tr w:rsidR="00A40EE0" w:rsidRPr="00A40EE0" w:rsidTr="00221A75">
              <w:trPr>
                <w:trHeight w:val="261"/>
              </w:trPr>
              <w:tc>
                <w:tcPr>
                  <w:tcW w:w="2545" w:type="dxa"/>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KFH-Fontana MCSA</w:t>
                  </w:r>
                </w:p>
              </w:tc>
              <w:tc>
                <w:tcPr>
                  <w:tcW w:w="2545" w:type="dxa"/>
                  <w:tcBorders>
                    <w:right w:val="single" w:sz="4" w:space="0" w:color="auto"/>
                  </w:tcBorders>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FFFFFF"/>
                      <w:sz w:val="22"/>
                      <w:szCs w:val="22"/>
                    </w:rPr>
                  </w:pPr>
                  <w:r w:rsidRPr="00A40EE0">
                    <w:rPr>
                      <w:rFonts w:ascii="Arial" w:eastAsia="Arial" w:hAnsi="Arial" w:cs="Arial"/>
                      <w:color w:val="FFFFFF"/>
                      <w:sz w:val="22"/>
                      <w:szCs w:val="22"/>
                    </w:rPr>
                    <w:t>KFH-Ontario MCSA</w:t>
                  </w:r>
                </w:p>
              </w:tc>
              <w:tc>
                <w:tcPr>
                  <w:tcW w:w="2545" w:type="dxa"/>
                  <w:tcBorders>
                    <w:left w:val="single" w:sz="4" w:space="0" w:color="auto"/>
                  </w:tcBorders>
                  <w:shd w:val="clear" w:color="auto" w:fill="000000"/>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S CA MCA</w:t>
                  </w:r>
                </w:p>
              </w:tc>
              <w:tc>
                <w:tcPr>
                  <w:tcW w:w="2545" w:type="dxa"/>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California</w:t>
                  </w:r>
                </w:p>
              </w:tc>
            </w:tr>
            <w:tr w:rsidR="00A40EE0" w:rsidRPr="00A40EE0" w:rsidTr="00221A75">
              <w:trPr>
                <w:trHeight w:val="286"/>
              </w:trPr>
              <w:tc>
                <w:tcPr>
                  <w:tcW w:w="2545" w:type="dxa"/>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14.7%</w:t>
                  </w:r>
                </w:p>
              </w:tc>
              <w:tc>
                <w:tcPr>
                  <w:tcW w:w="2545" w:type="dxa"/>
                  <w:tcBorders>
                    <w:right w:val="single" w:sz="4" w:space="0" w:color="auto"/>
                  </w:tcBorders>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15.8%</w:t>
                  </w:r>
                </w:p>
              </w:tc>
              <w:tc>
                <w:tcPr>
                  <w:tcW w:w="2545" w:type="dxa"/>
                  <w:tcBorders>
                    <w:left w:val="single" w:sz="4" w:space="0" w:color="auto"/>
                  </w:tcBorders>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11.0%</w:t>
                  </w:r>
                </w:p>
              </w:tc>
              <w:tc>
                <w:tcPr>
                  <w:tcW w:w="2545" w:type="dxa"/>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10.4%</w:t>
                  </w:r>
                </w:p>
              </w:tc>
            </w:tr>
          </w:tbl>
          <w:p w:rsidR="00A40EE0" w:rsidRPr="00A40EE0" w:rsidRDefault="00A40EE0" w:rsidP="00A40EE0">
            <w:pPr>
              <w:spacing w:after="0" w:line="240" w:lineRule="auto"/>
              <w:ind w:left="50"/>
              <w:rPr>
                <w:rFonts w:ascii="Arial" w:eastAsia="Arial" w:hAnsi="Arial" w:cs="Arial"/>
                <w:b/>
                <w:color w:val="000000"/>
                <w:sz w:val="18"/>
                <w:szCs w:val="18"/>
              </w:rPr>
            </w:pPr>
            <w:r w:rsidRPr="00A40EE0">
              <w:rPr>
                <w:rFonts w:ascii="Arial" w:eastAsia="Arial" w:hAnsi="Arial" w:cs="Arial"/>
                <w:i/>
                <w:color w:val="737373"/>
                <w:sz w:val="18"/>
                <w:szCs w:val="18"/>
              </w:rPr>
              <w:t xml:space="preserve">Source: US Census Bureau, </w:t>
            </w:r>
            <w:hyperlink r:id="rId28" w:tgtFrame="_blank" w:history="1">
              <w:r w:rsidRPr="00A40EE0">
                <w:rPr>
                  <w:rFonts w:ascii="Arial" w:eastAsia="Arial" w:hAnsi="Arial" w:cs="Arial"/>
                  <w:i/>
                  <w:color w:val="737373"/>
                  <w:sz w:val="18"/>
                  <w:szCs w:val="18"/>
                </w:rPr>
                <w:t>American Community Survey</w:t>
              </w:r>
            </w:hyperlink>
            <w:r w:rsidRPr="00A40EE0">
              <w:rPr>
                <w:rFonts w:ascii="Arial" w:eastAsia="Arial" w:hAnsi="Arial" w:cs="Arial"/>
                <w:i/>
                <w:color w:val="737373"/>
                <w:sz w:val="18"/>
                <w:szCs w:val="18"/>
              </w:rPr>
              <w:t>. 2010-14.</w:t>
            </w:r>
          </w:p>
          <w:p w:rsidR="00A40EE0" w:rsidRPr="00A40EE0" w:rsidRDefault="00A40EE0" w:rsidP="00A40EE0">
            <w:pPr>
              <w:widowControl/>
              <w:spacing w:after="0" w:line="240" w:lineRule="auto"/>
              <w:rPr>
                <w:rFonts w:ascii="Arial" w:eastAsia="Times New Roman" w:hAnsi="Arial" w:cs="Arial"/>
                <w:color w:val="000000"/>
                <w:sz w:val="20"/>
                <w:szCs w:val="20"/>
              </w:rPr>
            </w:pPr>
          </w:p>
        </w:tc>
      </w:tr>
      <w:tr w:rsidR="00A40EE0" w:rsidRPr="00A40EE0" w:rsidTr="00C542D4">
        <w:trPr>
          <w:trHeight w:val="792"/>
        </w:trPr>
        <w:tc>
          <w:tcPr>
            <w:tcW w:w="1270" w:type="pct"/>
            <w:gridSpan w:val="2"/>
            <w:tcBorders>
              <w:top w:val="nil"/>
              <w:left w:val="nil"/>
              <w:bottom w:val="nil"/>
              <w:right w:val="nil"/>
            </w:tcBorders>
          </w:tcPr>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noProof/>
                <w:color w:val="000000"/>
                <w:sz w:val="22"/>
                <w:szCs w:val="22"/>
              </w:rPr>
              <w:drawing>
                <wp:inline distT="114300" distB="114300" distL="114300" distR="114300" wp14:anchorId="2B1EFE6D" wp14:editId="5F1371B0">
                  <wp:extent cx="584835" cy="584835"/>
                  <wp:effectExtent l="0" t="0" r="0" b="0"/>
                  <wp:docPr id="29"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9"/>
                          <a:srcRect/>
                          <a:stretch>
                            <a:fillRect/>
                          </a:stretch>
                        </pic:blipFill>
                        <pic:spPr>
                          <a:xfrm>
                            <a:off x="0" y="0"/>
                            <a:ext cx="584835" cy="584835"/>
                          </a:xfrm>
                          <a:prstGeom prst="rect">
                            <a:avLst/>
                          </a:prstGeom>
                          <a:ln/>
                        </pic:spPr>
                      </pic:pic>
                    </a:graphicData>
                  </a:graphic>
                </wp:inline>
              </w:drawing>
            </w:r>
          </w:p>
        </w:tc>
        <w:tc>
          <w:tcPr>
            <w:tcW w:w="3730" w:type="pct"/>
            <w:gridSpan w:val="3"/>
            <w:tcBorders>
              <w:top w:val="nil"/>
              <w:left w:val="nil"/>
              <w:bottom w:val="nil"/>
              <w:right w:val="nil"/>
            </w:tcBorders>
            <w:vAlign w:val="center"/>
          </w:tcPr>
          <w:p w:rsidR="00A40EE0" w:rsidRPr="00A40EE0" w:rsidRDefault="00A40EE0" w:rsidP="00A40EE0">
            <w:pPr>
              <w:spacing w:after="0" w:line="240" w:lineRule="auto"/>
              <w:ind w:left="35"/>
              <w:rPr>
                <w:rFonts w:ascii="Arial" w:eastAsia="Arial" w:hAnsi="Arial" w:cs="Arial"/>
                <w:color w:val="000000"/>
                <w:sz w:val="22"/>
                <w:szCs w:val="22"/>
              </w:rPr>
            </w:pPr>
            <w:r w:rsidRPr="00A40EE0">
              <w:rPr>
                <w:rFonts w:ascii="Arial" w:eastAsia="Arial" w:hAnsi="Arial" w:cs="Arial"/>
                <w:b/>
                <w:color w:val="000000"/>
                <w:sz w:val="28"/>
                <w:szCs w:val="28"/>
              </w:rPr>
              <w:t>Physical Environment</w:t>
            </w:r>
          </w:p>
        </w:tc>
      </w:tr>
      <w:tr w:rsidR="00A40EE0" w:rsidRPr="00A40EE0" w:rsidTr="00C542D4">
        <w:trPr>
          <w:trHeight w:val="792"/>
        </w:trPr>
        <w:tc>
          <w:tcPr>
            <w:tcW w:w="5000" w:type="pct"/>
            <w:gridSpan w:val="5"/>
            <w:tcBorders>
              <w:top w:val="nil"/>
              <w:left w:val="nil"/>
              <w:bottom w:val="nil"/>
              <w:right w:val="nil"/>
            </w:tcBorders>
          </w:tcPr>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b/>
                <w:color w:val="000000"/>
                <w:sz w:val="22"/>
                <w:szCs w:val="22"/>
              </w:rPr>
              <w:t xml:space="preserve">Assisted Housing. </w:t>
            </w:r>
            <w:r w:rsidRPr="00A40EE0">
              <w:rPr>
                <w:rFonts w:ascii="Arial" w:eastAsia="Arial" w:hAnsi="Arial" w:cs="Arial"/>
                <w:color w:val="000000"/>
                <w:sz w:val="22"/>
                <w:szCs w:val="22"/>
              </w:rPr>
              <w:t>This indicator reports the total number of HUD-funded assisted housing units available to eligible renters as well as the unit rate (per 10,000 total households). This indicator is relevant because access to affordable housing can impact an individuals' level of economic security, and contribute towards an individual's ability to financially access nutritious foods and health care. Access to affordable housing can also contribute towards reducing stress, improving mental health, and achieving better overall health outcomes. The KFH-Fontana/Ontario Medical Center Service Areas have lower rates of HUD-funded assisted housing units available eligible to renters compared to the S CA MCA and state.</w:t>
            </w:r>
          </w:p>
          <w:p w:rsidR="00A40EE0" w:rsidRDefault="00A40EE0" w:rsidP="00A40EE0">
            <w:pPr>
              <w:spacing w:after="0" w:line="240" w:lineRule="auto"/>
              <w:jc w:val="center"/>
              <w:rPr>
                <w:rFonts w:ascii="Arial" w:eastAsia="Arial" w:hAnsi="Arial" w:cs="Arial"/>
                <w:color w:val="000000"/>
                <w:sz w:val="22"/>
                <w:szCs w:val="22"/>
              </w:rPr>
            </w:pPr>
          </w:p>
          <w:p w:rsidR="00E7785F" w:rsidRDefault="00E7785F" w:rsidP="00A40EE0">
            <w:pPr>
              <w:spacing w:after="0" w:line="240" w:lineRule="auto"/>
              <w:jc w:val="center"/>
              <w:rPr>
                <w:rFonts w:ascii="Arial" w:eastAsia="Arial" w:hAnsi="Arial" w:cs="Arial"/>
                <w:color w:val="000000"/>
                <w:sz w:val="22"/>
                <w:szCs w:val="22"/>
              </w:rPr>
            </w:pPr>
          </w:p>
          <w:p w:rsidR="004652D6" w:rsidRDefault="004652D6" w:rsidP="00A40EE0">
            <w:pPr>
              <w:spacing w:after="0" w:line="240" w:lineRule="auto"/>
              <w:jc w:val="center"/>
              <w:rPr>
                <w:rFonts w:ascii="Arial" w:eastAsia="Arial" w:hAnsi="Arial" w:cs="Arial"/>
                <w:color w:val="000000"/>
                <w:sz w:val="22"/>
                <w:szCs w:val="22"/>
              </w:rPr>
            </w:pPr>
          </w:p>
          <w:p w:rsidR="004652D6" w:rsidRDefault="004652D6" w:rsidP="00A40EE0">
            <w:pPr>
              <w:spacing w:after="0" w:line="240" w:lineRule="auto"/>
              <w:jc w:val="center"/>
              <w:rPr>
                <w:rFonts w:ascii="Arial" w:eastAsia="Arial" w:hAnsi="Arial" w:cs="Arial"/>
                <w:color w:val="000000"/>
                <w:sz w:val="22"/>
                <w:szCs w:val="22"/>
              </w:rPr>
            </w:pPr>
          </w:p>
          <w:p w:rsidR="00E7785F" w:rsidRPr="00A40EE0" w:rsidRDefault="00E7785F" w:rsidP="00A40EE0">
            <w:pPr>
              <w:spacing w:after="0" w:line="240" w:lineRule="auto"/>
              <w:jc w:val="center"/>
              <w:rPr>
                <w:rFonts w:ascii="Arial" w:eastAsia="Arial" w:hAnsi="Arial" w:cs="Arial"/>
                <w:color w:val="000000"/>
                <w:sz w:val="22"/>
                <w:szCs w:val="22"/>
              </w:rPr>
            </w:pPr>
          </w:p>
          <w:p w:rsidR="00A40EE0" w:rsidRPr="00A40EE0" w:rsidRDefault="00A40EE0" w:rsidP="00A40EE0">
            <w:pPr>
              <w:spacing w:after="0" w:line="240" w:lineRule="auto"/>
              <w:jc w:val="center"/>
              <w:rPr>
                <w:rFonts w:ascii="Arial" w:eastAsia="Arial" w:hAnsi="Arial" w:cs="Arial"/>
                <w:b/>
                <w:color w:val="000000"/>
                <w:sz w:val="22"/>
                <w:szCs w:val="22"/>
              </w:rPr>
            </w:pPr>
            <w:r w:rsidRPr="00A40EE0">
              <w:rPr>
                <w:rFonts w:ascii="Arial" w:eastAsia="Arial" w:hAnsi="Arial" w:cs="Arial"/>
                <w:b/>
                <w:color w:val="000000"/>
                <w:sz w:val="22"/>
                <w:szCs w:val="22"/>
              </w:rPr>
              <w:t>Rate of Assisted Households (per 10,000 households)</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45"/>
              <w:gridCol w:w="2545"/>
              <w:gridCol w:w="2545"/>
              <w:gridCol w:w="2545"/>
            </w:tblGrid>
            <w:tr w:rsidR="00A40EE0" w:rsidRPr="00A40EE0" w:rsidTr="00221A75">
              <w:trPr>
                <w:trHeight w:val="261"/>
              </w:trPr>
              <w:tc>
                <w:tcPr>
                  <w:tcW w:w="2545" w:type="dxa"/>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KFH-Fontana MCSA</w:t>
                  </w:r>
                </w:p>
              </w:tc>
              <w:tc>
                <w:tcPr>
                  <w:tcW w:w="2545" w:type="dxa"/>
                  <w:tcBorders>
                    <w:right w:val="single" w:sz="4" w:space="0" w:color="auto"/>
                  </w:tcBorders>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FFFFFF"/>
                      <w:sz w:val="22"/>
                      <w:szCs w:val="22"/>
                    </w:rPr>
                  </w:pPr>
                  <w:r w:rsidRPr="00A40EE0">
                    <w:rPr>
                      <w:rFonts w:ascii="Arial" w:eastAsia="Arial" w:hAnsi="Arial" w:cs="Arial"/>
                      <w:color w:val="FFFFFF"/>
                      <w:sz w:val="22"/>
                      <w:szCs w:val="22"/>
                    </w:rPr>
                    <w:t>KFH-Ontario MCSA</w:t>
                  </w:r>
                </w:p>
              </w:tc>
              <w:tc>
                <w:tcPr>
                  <w:tcW w:w="2545" w:type="dxa"/>
                  <w:tcBorders>
                    <w:left w:val="single" w:sz="4" w:space="0" w:color="auto"/>
                  </w:tcBorders>
                  <w:shd w:val="clear" w:color="auto" w:fill="000000"/>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S CA MCA</w:t>
                  </w:r>
                </w:p>
              </w:tc>
              <w:tc>
                <w:tcPr>
                  <w:tcW w:w="2545" w:type="dxa"/>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California</w:t>
                  </w:r>
                </w:p>
              </w:tc>
            </w:tr>
            <w:tr w:rsidR="00A40EE0" w:rsidRPr="00A40EE0" w:rsidTr="00221A75">
              <w:trPr>
                <w:trHeight w:val="286"/>
              </w:trPr>
              <w:tc>
                <w:tcPr>
                  <w:tcW w:w="2545" w:type="dxa"/>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229.7</w:t>
                  </w:r>
                </w:p>
              </w:tc>
              <w:tc>
                <w:tcPr>
                  <w:tcW w:w="2545" w:type="dxa"/>
                  <w:tcBorders>
                    <w:right w:val="single" w:sz="4" w:space="0" w:color="auto"/>
                  </w:tcBorders>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271.3</w:t>
                  </w:r>
                </w:p>
              </w:tc>
              <w:tc>
                <w:tcPr>
                  <w:tcW w:w="2545" w:type="dxa"/>
                  <w:tcBorders>
                    <w:left w:val="single" w:sz="4" w:space="0" w:color="auto"/>
                  </w:tcBorders>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345.4</w:t>
                  </w:r>
                </w:p>
              </w:tc>
              <w:tc>
                <w:tcPr>
                  <w:tcW w:w="2545" w:type="dxa"/>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368.3</w:t>
                  </w:r>
                </w:p>
              </w:tc>
            </w:tr>
          </w:tbl>
          <w:p w:rsidR="00A40EE0" w:rsidRPr="00A40EE0" w:rsidRDefault="00A40EE0" w:rsidP="00A40EE0">
            <w:pPr>
              <w:spacing w:after="0" w:line="240" w:lineRule="auto"/>
              <w:ind w:left="35"/>
              <w:rPr>
                <w:rFonts w:ascii="Arial" w:eastAsia="Arial" w:hAnsi="Arial" w:cs="Arial"/>
                <w:b/>
                <w:color w:val="000000"/>
                <w:sz w:val="28"/>
                <w:szCs w:val="28"/>
              </w:rPr>
            </w:pPr>
            <w:r w:rsidRPr="00A40EE0">
              <w:rPr>
                <w:rFonts w:ascii="Arial" w:eastAsia="Arial" w:hAnsi="Arial" w:cs="Arial"/>
                <w:i/>
                <w:iCs/>
                <w:color w:val="737373"/>
                <w:sz w:val="18"/>
                <w:szCs w:val="18"/>
              </w:rPr>
              <w:t xml:space="preserve">Source: </w:t>
            </w:r>
            <w:hyperlink r:id="rId30" w:tgtFrame="_blank" w:history="1">
              <w:r w:rsidRPr="00A40EE0">
                <w:rPr>
                  <w:rFonts w:ascii="Arial" w:eastAsia="Arial" w:hAnsi="Arial" w:cs="Arial"/>
                  <w:i/>
                  <w:iCs/>
                  <w:color w:val="737373"/>
                  <w:sz w:val="18"/>
                  <w:szCs w:val="18"/>
                </w:rPr>
                <w:t>US Department of Housing and Urban Development</w:t>
              </w:r>
            </w:hyperlink>
            <w:r w:rsidRPr="00A40EE0">
              <w:rPr>
                <w:rFonts w:ascii="Arial" w:eastAsia="Arial" w:hAnsi="Arial" w:cs="Arial"/>
                <w:i/>
                <w:iCs/>
                <w:color w:val="737373"/>
                <w:sz w:val="18"/>
                <w:szCs w:val="18"/>
              </w:rPr>
              <w:t>. 2013.</w:t>
            </w:r>
          </w:p>
        </w:tc>
      </w:tr>
      <w:tr w:rsidR="00A40EE0" w:rsidRPr="00A40EE0" w:rsidTr="00C542D4">
        <w:trPr>
          <w:trHeight w:val="792"/>
        </w:trPr>
        <w:tc>
          <w:tcPr>
            <w:tcW w:w="5000" w:type="pct"/>
            <w:gridSpan w:val="5"/>
            <w:tcBorders>
              <w:top w:val="nil"/>
              <w:left w:val="nil"/>
              <w:bottom w:val="nil"/>
              <w:right w:val="nil"/>
            </w:tcBorders>
          </w:tcPr>
          <w:p w:rsidR="00A40EE0" w:rsidRPr="00A40EE0" w:rsidRDefault="00A40EE0" w:rsidP="00A40EE0">
            <w:pPr>
              <w:spacing w:after="0" w:line="240" w:lineRule="auto"/>
              <w:rPr>
                <w:rFonts w:ascii="Arial" w:eastAsia="Arial" w:hAnsi="Arial" w:cs="Arial"/>
                <w:b/>
                <w:color w:val="000000"/>
                <w:sz w:val="22"/>
                <w:szCs w:val="22"/>
              </w:rPr>
            </w:pPr>
          </w:p>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b/>
                <w:color w:val="000000"/>
                <w:sz w:val="22"/>
                <w:szCs w:val="22"/>
              </w:rPr>
              <w:t xml:space="preserve">Substandard Housing. </w:t>
            </w:r>
            <w:r w:rsidRPr="00A40EE0">
              <w:rPr>
                <w:rFonts w:ascii="Arial" w:eastAsia="Arial" w:hAnsi="Arial" w:cs="Arial"/>
                <w:color w:val="000000"/>
                <w:sz w:val="22"/>
                <w:szCs w:val="22"/>
              </w:rPr>
              <w:t>This indicator reports the number and percentage of owner- and renter-occupied housing units having at least one of the following conditions: 1) lacking complete plumbing facilities, 2) lacking complete kitchen facilities, 3) with 1.01 or more occupants per room, 4) selected monthly owner costs as a percentage of household income greater than 30 percent, and 5) gross rent as a percentage of household income greater than 30 percent. The KFH-Fontana/Ontario Medical Center Service Areas have a slightly higher percentage of substandard households compared to the state.</w:t>
            </w:r>
          </w:p>
          <w:p w:rsidR="00A40EE0" w:rsidRPr="00A40EE0" w:rsidRDefault="00A40EE0" w:rsidP="00A40EE0">
            <w:pPr>
              <w:spacing w:after="0" w:line="240" w:lineRule="auto"/>
              <w:jc w:val="center"/>
              <w:rPr>
                <w:rFonts w:ascii="Arial" w:eastAsia="Arial" w:hAnsi="Arial" w:cs="Arial"/>
                <w:b/>
                <w:color w:val="000000"/>
                <w:sz w:val="22"/>
                <w:szCs w:val="22"/>
              </w:rPr>
            </w:pPr>
          </w:p>
          <w:p w:rsidR="00A40EE0" w:rsidRPr="00A40EE0" w:rsidRDefault="00A40EE0" w:rsidP="00A40EE0">
            <w:pPr>
              <w:spacing w:after="0" w:line="240" w:lineRule="auto"/>
              <w:jc w:val="center"/>
              <w:rPr>
                <w:rFonts w:ascii="Arial" w:eastAsia="Arial" w:hAnsi="Arial" w:cs="Arial"/>
                <w:b/>
                <w:color w:val="000000"/>
                <w:sz w:val="22"/>
                <w:szCs w:val="22"/>
              </w:rPr>
            </w:pPr>
            <w:r w:rsidRPr="00A40EE0">
              <w:rPr>
                <w:rFonts w:ascii="Arial" w:eastAsia="Arial" w:hAnsi="Arial" w:cs="Arial"/>
                <w:b/>
                <w:color w:val="000000"/>
                <w:sz w:val="22"/>
                <w:szCs w:val="22"/>
              </w:rPr>
              <w:t xml:space="preserve">Percentage of Substandard Households </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45"/>
              <w:gridCol w:w="2545"/>
              <w:gridCol w:w="2545"/>
              <w:gridCol w:w="2545"/>
            </w:tblGrid>
            <w:tr w:rsidR="00A40EE0" w:rsidRPr="00A40EE0" w:rsidTr="00221A75">
              <w:trPr>
                <w:trHeight w:val="261"/>
              </w:trPr>
              <w:tc>
                <w:tcPr>
                  <w:tcW w:w="2545" w:type="dxa"/>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KFH-Fontana MCSA</w:t>
                  </w:r>
                </w:p>
              </w:tc>
              <w:tc>
                <w:tcPr>
                  <w:tcW w:w="2545" w:type="dxa"/>
                  <w:tcBorders>
                    <w:right w:val="single" w:sz="4" w:space="0" w:color="auto"/>
                  </w:tcBorders>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FFFFFF"/>
                      <w:sz w:val="22"/>
                      <w:szCs w:val="22"/>
                    </w:rPr>
                  </w:pPr>
                  <w:r w:rsidRPr="00A40EE0">
                    <w:rPr>
                      <w:rFonts w:ascii="Arial" w:eastAsia="Arial" w:hAnsi="Arial" w:cs="Arial"/>
                      <w:color w:val="FFFFFF"/>
                      <w:sz w:val="22"/>
                      <w:szCs w:val="22"/>
                    </w:rPr>
                    <w:t>KFH-Ontario MCSA</w:t>
                  </w:r>
                </w:p>
              </w:tc>
              <w:tc>
                <w:tcPr>
                  <w:tcW w:w="2545" w:type="dxa"/>
                  <w:tcBorders>
                    <w:left w:val="single" w:sz="4" w:space="0" w:color="auto"/>
                  </w:tcBorders>
                  <w:shd w:val="clear" w:color="auto" w:fill="000000"/>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S CA MCA</w:t>
                  </w:r>
                </w:p>
              </w:tc>
              <w:tc>
                <w:tcPr>
                  <w:tcW w:w="2545" w:type="dxa"/>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California</w:t>
                  </w:r>
                </w:p>
              </w:tc>
            </w:tr>
            <w:tr w:rsidR="00A40EE0" w:rsidRPr="00A40EE0" w:rsidTr="00221A75">
              <w:trPr>
                <w:trHeight w:val="286"/>
              </w:trPr>
              <w:tc>
                <w:tcPr>
                  <w:tcW w:w="2545" w:type="dxa"/>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48.6%</w:t>
                  </w:r>
                </w:p>
              </w:tc>
              <w:tc>
                <w:tcPr>
                  <w:tcW w:w="2545" w:type="dxa"/>
                  <w:tcBorders>
                    <w:right w:val="single" w:sz="4" w:space="0" w:color="auto"/>
                  </w:tcBorders>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49.2%</w:t>
                  </w:r>
                </w:p>
              </w:tc>
              <w:tc>
                <w:tcPr>
                  <w:tcW w:w="2545" w:type="dxa"/>
                  <w:tcBorders>
                    <w:left w:val="single" w:sz="4" w:space="0" w:color="auto"/>
                  </w:tcBorders>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50.4%</w:t>
                  </w:r>
                </w:p>
              </w:tc>
              <w:tc>
                <w:tcPr>
                  <w:tcW w:w="2545" w:type="dxa"/>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47.5%</w:t>
                  </w:r>
                </w:p>
              </w:tc>
            </w:tr>
          </w:tbl>
          <w:p w:rsidR="00A40EE0" w:rsidRPr="00A40EE0" w:rsidRDefault="00A40EE0" w:rsidP="00A40EE0">
            <w:pPr>
              <w:spacing w:after="0" w:line="240" w:lineRule="auto"/>
              <w:rPr>
                <w:rFonts w:ascii="Arial" w:eastAsia="Arial" w:hAnsi="Arial" w:cs="Arial"/>
                <w:i/>
                <w:color w:val="737373"/>
                <w:sz w:val="18"/>
                <w:szCs w:val="18"/>
              </w:rPr>
            </w:pPr>
            <w:r w:rsidRPr="00A40EE0">
              <w:rPr>
                <w:rFonts w:ascii="Arial" w:eastAsia="Arial" w:hAnsi="Arial" w:cs="Arial"/>
                <w:i/>
                <w:color w:val="737373"/>
                <w:sz w:val="18"/>
                <w:szCs w:val="18"/>
              </w:rPr>
              <w:t xml:space="preserve">Source: US Census Bureau, </w:t>
            </w:r>
            <w:hyperlink r:id="rId31" w:tgtFrame="_blank" w:history="1">
              <w:r w:rsidRPr="00A40EE0">
                <w:rPr>
                  <w:rFonts w:ascii="Arial" w:eastAsia="Arial" w:hAnsi="Arial" w:cs="Arial"/>
                  <w:i/>
                  <w:color w:val="737373"/>
                  <w:sz w:val="18"/>
                  <w:szCs w:val="18"/>
                </w:rPr>
                <w:t>American Community Survey</w:t>
              </w:r>
            </w:hyperlink>
            <w:r w:rsidRPr="00A40EE0">
              <w:rPr>
                <w:rFonts w:ascii="Arial" w:eastAsia="Arial" w:hAnsi="Arial" w:cs="Arial"/>
                <w:i/>
                <w:color w:val="737373"/>
                <w:sz w:val="18"/>
                <w:szCs w:val="18"/>
              </w:rPr>
              <w:t xml:space="preserve">. 2010-14. </w:t>
            </w:r>
          </w:p>
          <w:p w:rsidR="00A40EE0" w:rsidRPr="00A40EE0" w:rsidRDefault="00A40EE0" w:rsidP="00A40EE0">
            <w:pPr>
              <w:spacing w:after="0" w:line="240" w:lineRule="auto"/>
              <w:rPr>
                <w:rFonts w:ascii="Arial" w:eastAsia="Arial" w:hAnsi="Arial" w:cs="Arial"/>
                <w:b/>
                <w:color w:val="000000"/>
                <w:sz w:val="22"/>
                <w:szCs w:val="22"/>
              </w:rPr>
            </w:pPr>
          </w:p>
        </w:tc>
      </w:tr>
      <w:tr w:rsidR="00A40EE0" w:rsidRPr="00A40EE0" w:rsidTr="00C542D4">
        <w:trPr>
          <w:trHeight w:val="792"/>
        </w:trPr>
        <w:tc>
          <w:tcPr>
            <w:tcW w:w="5000" w:type="pct"/>
            <w:gridSpan w:val="5"/>
            <w:tcBorders>
              <w:top w:val="nil"/>
              <w:left w:val="nil"/>
              <w:bottom w:val="nil"/>
              <w:right w:val="nil"/>
            </w:tcBorders>
          </w:tcPr>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b/>
                <w:color w:val="000000"/>
                <w:sz w:val="22"/>
                <w:szCs w:val="22"/>
              </w:rPr>
              <w:t xml:space="preserve">Cost Burdened Housing. </w:t>
            </w:r>
            <w:r w:rsidRPr="00A40EE0">
              <w:rPr>
                <w:rFonts w:ascii="Arial" w:eastAsia="Arial" w:hAnsi="Arial" w:cs="Arial"/>
                <w:color w:val="000000"/>
                <w:sz w:val="22"/>
                <w:szCs w:val="22"/>
              </w:rPr>
              <w:t>This indicator reports the percentage of the households where housing costs exceed 30% of total household income. This indicator provides information on the cost of monthly housing expenses for owners and renters. This indicator is relevant because it offers a measure of housing affordability and excessive shelter costs that may prohibit an individual's ability to financially meet basic life needs, such as health care, child care, healthy food purchasing, and transportation costs. KFH-Ontario Medical Center Service Area has a higher percentage of households where housing costs exceed 30% of income compared to the state.</w:t>
            </w:r>
          </w:p>
          <w:p w:rsidR="00A40EE0" w:rsidRPr="00A40EE0" w:rsidRDefault="00A40EE0" w:rsidP="00A40EE0">
            <w:pPr>
              <w:widowControl/>
              <w:spacing w:after="0" w:line="240" w:lineRule="auto"/>
              <w:jc w:val="center"/>
              <w:rPr>
                <w:rFonts w:ascii="Arial" w:eastAsia="Calibri" w:hAnsi="Arial" w:cs="Arial"/>
                <w:b/>
                <w:color w:val="000000"/>
                <w:sz w:val="20"/>
                <w:szCs w:val="20"/>
              </w:rPr>
            </w:pPr>
          </w:p>
          <w:p w:rsidR="00A40EE0" w:rsidRPr="00A40EE0" w:rsidRDefault="00A40EE0" w:rsidP="00A40EE0">
            <w:pPr>
              <w:spacing w:after="0" w:line="240" w:lineRule="auto"/>
              <w:jc w:val="center"/>
              <w:rPr>
                <w:rFonts w:ascii="Arial" w:eastAsia="Arial" w:hAnsi="Arial" w:cs="Arial"/>
                <w:b/>
                <w:color w:val="000000"/>
                <w:sz w:val="22"/>
                <w:szCs w:val="22"/>
              </w:rPr>
            </w:pPr>
            <w:r w:rsidRPr="00A40EE0">
              <w:rPr>
                <w:rFonts w:ascii="Arial" w:eastAsia="Arial" w:hAnsi="Arial" w:cs="Arial"/>
                <w:b/>
                <w:color w:val="000000"/>
                <w:sz w:val="22"/>
                <w:szCs w:val="22"/>
              </w:rPr>
              <w:t>Percentage of Households where Housing Costs Exceed 30% of Income</w:t>
            </w:r>
          </w:p>
          <w:tbl>
            <w:tblPr>
              <w:tblW w:w="10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45"/>
              <w:gridCol w:w="2545"/>
              <w:gridCol w:w="2545"/>
              <w:gridCol w:w="3079"/>
            </w:tblGrid>
            <w:tr w:rsidR="00A40EE0" w:rsidRPr="00A40EE0" w:rsidTr="00221A75">
              <w:trPr>
                <w:trHeight w:val="261"/>
              </w:trPr>
              <w:tc>
                <w:tcPr>
                  <w:tcW w:w="2545" w:type="dxa"/>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KFH-Fontana MCSA</w:t>
                  </w:r>
                </w:p>
              </w:tc>
              <w:tc>
                <w:tcPr>
                  <w:tcW w:w="2545" w:type="dxa"/>
                  <w:tcBorders>
                    <w:right w:val="single" w:sz="4" w:space="0" w:color="auto"/>
                  </w:tcBorders>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FFFFFF"/>
                      <w:sz w:val="22"/>
                      <w:szCs w:val="22"/>
                    </w:rPr>
                  </w:pPr>
                  <w:r w:rsidRPr="00A40EE0">
                    <w:rPr>
                      <w:rFonts w:ascii="Arial" w:eastAsia="Arial" w:hAnsi="Arial" w:cs="Arial"/>
                      <w:color w:val="FFFFFF"/>
                      <w:sz w:val="22"/>
                      <w:szCs w:val="22"/>
                    </w:rPr>
                    <w:t>KFH-Ontario MCSA</w:t>
                  </w:r>
                </w:p>
              </w:tc>
              <w:tc>
                <w:tcPr>
                  <w:tcW w:w="2545" w:type="dxa"/>
                  <w:tcBorders>
                    <w:left w:val="single" w:sz="4" w:space="0" w:color="auto"/>
                  </w:tcBorders>
                  <w:shd w:val="clear" w:color="auto" w:fill="000000"/>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S CA MCA</w:t>
                  </w:r>
                </w:p>
              </w:tc>
              <w:tc>
                <w:tcPr>
                  <w:tcW w:w="3079" w:type="dxa"/>
                  <w:shd w:val="clear" w:color="auto" w:fill="000000"/>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color w:val="000000"/>
                      <w:sz w:val="22"/>
                      <w:szCs w:val="22"/>
                    </w:rPr>
                  </w:pPr>
                  <w:r w:rsidRPr="00A40EE0">
                    <w:rPr>
                      <w:rFonts w:ascii="Arial" w:eastAsia="Arial" w:hAnsi="Arial" w:cs="Arial"/>
                      <w:color w:val="FFFFFF"/>
                      <w:sz w:val="22"/>
                      <w:szCs w:val="22"/>
                    </w:rPr>
                    <w:t>California</w:t>
                  </w:r>
                </w:p>
              </w:tc>
            </w:tr>
            <w:tr w:rsidR="00A40EE0" w:rsidRPr="00A40EE0" w:rsidTr="00221A75">
              <w:trPr>
                <w:trHeight w:val="286"/>
              </w:trPr>
              <w:tc>
                <w:tcPr>
                  <w:tcW w:w="2545" w:type="dxa"/>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45.2%</w:t>
                  </w:r>
                </w:p>
              </w:tc>
              <w:tc>
                <w:tcPr>
                  <w:tcW w:w="2545" w:type="dxa"/>
                  <w:tcBorders>
                    <w:right w:val="single" w:sz="4" w:space="0" w:color="auto"/>
                  </w:tcBorders>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46.9%</w:t>
                  </w:r>
                </w:p>
              </w:tc>
              <w:tc>
                <w:tcPr>
                  <w:tcW w:w="2545" w:type="dxa"/>
                  <w:tcBorders>
                    <w:left w:val="single" w:sz="4" w:space="0" w:color="auto"/>
                  </w:tcBorders>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47.3%</w:t>
                  </w:r>
                </w:p>
              </w:tc>
              <w:tc>
                <w:tcPr>
                  <w:tcW w:w="3079" w:type="dxa"/>
                  <w:tcMar>
                    <w:top w:w="28" w:type="dxa"/>
                    <w:left w:w="28" w:type="dxa"/>
                    <w:bottom w:w="28" w:type="dxa"/>
                    <w:right w:w="28" w:type="dxa"/>
                  </w:tcMar>
                </w:tcPr>
                <w:p w:rsidR="00A40EE0" w:rsidRPr="00A40EE0" w:rsidRDefault="00A40EE0" w:rsidP="00A40EE0">
                  <w:pPr>
                    <w:spacing w:after="0" w:line="240" w:lineRule="auto"/>
                    <w:jc w:val="center"/>
                    <w:rPr>
                      <w:rFonts w:ascii="Arial" w:eastAsia="Arial" w:hAnsi="Arial" w:cs="Arial"/>
                      <w:sz w:val="22"/>
                      <w:szCs w:val="22"/>
                    </w:rPr>
                  </w:pPr>
                  <w:r w:rsidRPr="00A40EE0">
                    <w:rPr>
                      <w:rFonts w:ascii="Arial" w:eastAsia="Arial" w:hAnsi="Arial" w:cs="Arial"/>
                      <w:sz w:val="22"/>
                      <w:szCs w:val="22"/>
                    </w:rPr>
                    <w:t>45.0%</w:t>
                  </w:r>
                </w:p>
              </w:tc>
            </w:tr>
          </w:tbl>
          <w:p w:rsidR="00A40EE0" w:rsidRPr="00A40EE0" w:rsidRDefault="00A40EE0" w:rsidP="00A40EE0">
            <w:pPr>
              <w:spacing w:after="0" w:line="240" w:lineRule="auto"/>
              <w:rPr>
                <w:rFonts w:ascii="Arial" w:eastAsia="Arial" w:hAnsi="Arial" w:cs="Arial"/>
                <w:i/>
                <w:iCs/>
                <w:color w:val="737373"/>
                <w:sz w:val="18"/>
                <w:szCs w:val="18"/>
              </w:rPr>
            </w:pPr>
            <w:r w:rsidRPr="00A40EE0">
              <w:rPr>
                <w:rFonts w:ascii="Arial" w:eastAsia="Arial" w:hAnsi="Arial" w:cs="Arial"/>
                <w:i/>
                <w:color w:val="737373"/>
                <w:sz w:val="18"/>
                <w:szCs w:val="18"/>
              </w:rPr>
              <w:t xml:space="preserve">Source: </w:t>
            </w:r>
            <w:r w:rsidRPr="00A40EE0">
              <w:rPr>
                <w:rFonts w:ascii="Arial" w:eastAsia="Arial" w:hAnsi="Arial" w:cs="Arial"/>
                <w:i/>
                <w:iCs/>
                <w:color w:val="737373"/>
                <w:sz w:val="18"/>
                <w:szCs w:val="18"/>
              </w:rPr>
              <w:t>US Census Bureau, American Community Survey. 2010-14.</w:t>
            </w:r>
          </w:p>
          <w:p w:rsidR="00A40EE0" w:rsidRDefault="00A40EE0"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4652D6" w:rsidRDefault="004652D6" w:rsidP="00A40EE0">
            <w:pPr>
              <w:spacing w:after="0" w:line="240" w:lineRule="auto"/>
              <w:rPr>
                <w:rFonts w:ascii="Arial" w:eastAsia="Arial" w:hAnsi="Arial" w:cs="Arial"/>
                <w:i/>
                <w:iCs/>
                <w:color w:val="737373"/>
                <w:sz w:val="18"/>
                <w:szCs w:val="18"/>
              </w:rPr>
            </w:pPr>
          </w:p>
          <w:p w:rsidR="00D44882" w:rsidRDefault="00D44882" w:rsidP="00A40EE0">
            <w:pPr>
              <w:spacing w:after="0" w:line="240" w:lineRule="auto"/>
              <w:rPr>
                <w:rFonts w:ascii="Arial" w:eastAsia="Arial" w:hAnsi="Arial" w:cs="Arial"/>
                <w:i/>
                <w:iCs/>
                <w:color w:val="737373"/>
                <w:sz w:val="18"/>
                <w:szCs w:val="18"/>
              </w:rPr>
            </w:pPr>
          </w:p>
          <w:p w:rsidR="004652D6" w:rsidRPr="00A40EE0" w:rsidRDefault="004652D6" w:rsidP="00A40EE0">
            <w:pPr>
              <w:spacing w:after="0" w:line="240" w:lineRule="auto"/>
              <w:rPr>
                <w:rFonts w:ascii="Arial" w:eastAsia="Arial" w:hAnsi="Arial" w:cs="Arial"/>
                <w:i/>
                <w:iCs/>
                <w:color w:val="737373"/>
                <w:sz w:val="18"/>
                <w:szCs w:val="18"/>
              </w:rPr>
            </w:pPr>
          </w:p>
        </w:tc>
      </w:tr>
      <w:tr w:rsidR="00A40EE0" w:rsidRPr="00A40EE0" w:rsidTr="00C542D4">
        <w:trPr>
          <w:trHeight w:val="420"/>
        </w:trPr>
        <w:tc>
          <w:tcPr>
            <w:tcW w:w="5000" w:type="pct"/>
            <w:gridSpan w:val="5"/>
            <w:tcBorders>
              <w:top w:val="nil"/>
              <w:left w:val="nil"/>
              <w:bottom w:val="nil"/>
              <w:right w:val="nil"/>
            </w:tcBorders>
            <w:shd w:val="clear" w:color="auto" w:fill="006D9D"/>
            <w:tcMar>
              <w:top w:w="57" w:type="dxa"/>
              <w:left w:w="57" w:type="dxa"/>
              <w:bottom w:w="57" w:type="dxa"/>
              <w:right w:w="57" w:type="dxa"/>
            </w:tcMar>
          </w:tcPr>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b/>
                <w:color w:val="FFFFFF"/>
                <w:sz w:val="32"/>
                <w:szCs w:val="32"/>
              </w:rPr>
              <w:t>Health Disparities</w:t>
            </w:r>
          </w:p>
        </w:tc>
      </w:tr>
      <w:tr w:rsidR="00A40EE0" w:rsidRPr="00A40EE0" w:rsidTr="00C542D4">
        <w:trPr>
          <w:trHeight w:val="4300"/>
        </w:trPr>
        <w:tc>
          <w:tcPr>
            <w:tcW w:w="5000" w:type="pct"/>
            <w:gridSpan w:val="5"/>
            <w:tcBorders>
              <w:top w:val="nil"/>
              <w:left w:val="nil"/>
              <w:bottom w:val="nil"/>
              <w:right w:val="nil"/>
            </w:tcBorders>
            <w:tcMar>
              <w:top w:w="100" w:type="dxa"/>
              <w:left w:w="100" w:type="dxa"/>
              <w:bottom w:w="100" w:type="dxa"/>
              <w:right w:w="100" w:type="dxa"/>
            </w:tcMar>
          </w:tcPr>
          <w:tbl>
            <w:tblPr>
              <w:tblW w:w="10281" w:type="dxa"/>
              <w:tblLook w:val="0600" w:firstRow="0" w:lastRow="0" w:firstColumn="0" w:lastColumn="0" w:noHBand="1" w:noVBand="1"/>
            </w:tblPr>
            <w:tblGrid>
              <w:gridCol w:w="1293"/>
              <w:gridCol w:w="8988"/>
            </w:tblGrid>
            <w:tr w:rsidR="00A40EE0" w:rsidRPr="00A40EE0" w:rsidTr="00221A75">
              <w:tc>
                <w:tcPr>
                  <w:tcW w:w="1293" w:type="dxa"/>
                  <w:tcMar>
                    <w:left w:w="0" w:type="dxa"/>
                    <w:right w:w="0" w:type="dxa"/>
                  </w:tcMar>
                </w:tcPr>
                <w:p w:rsidR="00A40EE0" w:rsidRPr="00A40EE0" w:rsidRDefault="00A40EE0" w:rsidP="00A40EE0">
                  <w:pPr>
                    <w:spacing w:after="0" w:line="240" w:lineRule="auto"/>
                    <w:ind w:left="-15" w:right="-15" w:hanging="15"/>
                    <w:jc w:val="both"/>
                    <w:rPr>
                      <w:rFonts w:ascii="Arial" w:eastAsia="Arial" w:hAnsi="Arial" w:cs="Arial"/>
                      <w:color w:val="000000"/>
                      <w:sz w:val="20"/>
                      <w:szCs w:val="22"/>
                    </w:rPr>
                  </w:pPr>
                  <w:r w:rsidRPr="00A40EE0">
                    <w:rPr>
                      <w:rFonts w:ascii="Arial" w:eastAsia="Arial" w:hAnsi="Arial" w:cs="Arial"/>
                      <w:noProof/>
                      <w:color w:val="000000"/>
                      <w:sz w:val="20"/>
                      <w:szCs w:val="22"/>
                    </w:rPr>
                    <w:drawing>
                      <wp:inline distT="114300" distB="114300" distL="114300" distR="114300" wp14:anchorId="5D924F2E" wp14:editId="50F48B79">
                        <wp:extent cx="420767" cy="380047"/>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420767" cy="380047"/>
                                </a:xfrm>
                                <a:prstGeom prst="rect">
                                  <a:avLst/>
                                </a:prstGeom>
                                <a:ln/>
                              </pic:spPr>
                            </pic:pic>
                          </a:graphicData>
                        </a:graphic>
                      </wp:inline>
                    </w:drawing>
                  </w:r>
                </w:p>
              </w:tc>
              <w:tc>
                <w:tcPr>
                  <w:tcW w:w="8988" w:type="dxa"/>
                  <w:tcMar>
                    <w:left w:w="0" w:type="dxa"/>
                    <w:right w:w="0" w:type="dxa"/>
                  </w:tcMar>
                </w:tcPr>
                <w:p w:rsidR="00A40EE0" w:rsidRPr="00A40EE0" w:rsidRDefault="00A40EE0" w:rsidP="00A40EE0">
                  <w:pPr>
                    <w:spacing w:after="0" w:line="240" w:lineRule="auto"/>
                    <w:rPr>
                      <w:rFonts w:ascii="Arial" w:eastAsia="Arial" w:hAnsi="Arial" w:cs="Arial"/>
                      <w:color w:val="000000"/>
                      <w:sz w:val="20"/>
                      <w:szCs w:val="22"/>
                    </w:rPr>
                  </w:pPr>
                  <w:r w:rsidRPr="00A40EE0">
                    <w:rPr>
                      <w:rFonts w:ascii="Arial" w:eastAsia="Arial" w:hAnsi="Arial" w:cs="Arial"/>
                      <w:color w:val="000000"/>
                      <w:sz w:val="20"/>
                      <w:szCs w:val="22"/>
                    </w:rPr>
                    <w:t xml:space="preserve">Native American / Alaskan Natives, Blacks and Hispanic/Latinos have higher rates of living under the 100% Federal Poverty Line in the KFH-Fontana Medical Center Service Area, for the S CA MCA, and statewide. </w:t>
                  </w:r>
                </w:p>
                <w:p w:rsidR="00A40EE0" w:rsidRPr="00A40EE0" w:rsidRDefault="00A40EE0" w:rsidP="00A40EE0">
                  <w:pPr>
                    <w:spacing w:after="0" w:line="240" w:lineRule="auto"/>
                    <w:jc w:val="center"/>
                    <w:rPr>
                      <w:rFonts w:ascii="Arial" w:eastAsia="Arial" w:hAnsi="Arial" w:cs="Arial"/>
                      <w:b/>
                      <w:color w:val="000000"/>
                      <w:sz w:val="20"/>
                      <w:szCs w:val="22"/>
                    </w:rPr>
                  </w:pPr>
                  <w:r w:rsidRPr="00A40EE0">
                    <w:rPr>
                      <w:rFonts w:ascii="Arial" w:eastAsia="Arial" w:hAnsi="Arial" w:cs="Arial"/>
                      <w:b/>
                      <w:color w:val="000000"/>
                      <w:sz w:val="20"/>
                      <w:szCs w:val="22"/>
                    </w:rPr>
                    <w:t>Population Under the 100% FPL (Per 100,000 Population) by Race/Ethnicity</w:t>
                  </w:r>
                </w:p>
              </w:tc>
            </w:tr>
            <w:tr w:rsidR="00A40EE0" w:rsidRPr="00A40EE0" w:rsidTr="00221A75">
              <w:trPr>
                <w:trHeight w:val="3717"/>
              </w:trPr>
              <w:tc>
                <w:tcPr>
                  <w:tcW w:w="10281" w:type="dxa"/>
                  <w:gridSpan w:val="2"/>
                  <w:tcMar>
                    <w:left w:w="0" w:type="dxa"/>
                    <w:right w:w="0" w:type="dxa"/>
                  </w:tcMar>
                </w:tcPr>
                <w:tbl>
                  <w:tblPr>
                    <w:tblStyle w:val="LightList12"/>
                    <w:tblW w:w="5000" w:type="pct"/>
                    <w:tblLook w:val="04A0" w:firstRow="1" w:lastRow="0" w:firstColumn="1" w:lastColumn="0" w:noHBand="0" w:noVBand="1"/>
                  </w:tblPr>
                  <w:tblGrid>
                    <w:gridCol w:w="1230"/>
                    <w:gridCol w:w="809"/>
                    <w:gridCol w:w="1167"/>
                    <w:gridCol w:w="1159"/>
                    <w:gridCol w:w="981"/>
                    <w:gridCol w:w="1083"/>
                    <w:gridCol w:w="1057"/>
                    <w:gridCol w:w="1069"/>
                    <w:gridCol w:w="1706"/>
                  </w:tblGrid>
                  <w:tr w:rsidR="00A40EE0" w:rsidRPr="00A40EE0" w:rsidTr="00221A75">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634" w:type="pct"/>
                      </w:tcPr>
                      <w:p w:rsidR="00A40EE0" w:rsidRPr="00A40EE0" w:rsidRDefault="00A40EE0" w:rsidP="00A40EE0">
                        <w:pPr>
                          <w:widowControl/>
                          <w:spacing w:after="0" w:line="240" w:lineRule="auto"/>
                          <w:rPr>
                            <w:rFonts w:ascii="Arial" w:hAnsi="Arial" w:cs="Arial"/>
                            <w:sz w:val="20"/>
                            <w:szCs w:val="22"/>
                          </w:rPr>
                        </w:pPr>
                      </w:p>
                    </w:tc>
                    <w:tc>
                      <w:tcPr>
                        <w:tcW w:w="429" w:type="pct"/>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White</w:t>
                        </w:r>
                      </w:p>
                    </w:tc>
                    <w:tc>
                      <w:tcPr>
                        <w:tcW w:w="603" w:type="pct"/>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Black or African American</w:t>
                        </w:r>
                      </w:p>
                    </w:tc>
                    <w:tc>
                      <w:tcPr>
                        <w:tcW w:w="599" w:type="pct"/>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Native American / Alaska Native</w:t>
                        </w:r>
                      </w:p>
                    </w:tc>
                    <w:tc>
                      <w:tcPr>
                        <w:tcW w:w="512" w:type="pct"/>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Asian</w:t>
                        </w:r>
                      </w:p>
                    </w:tc>
                    <w:tc>
                      <w:tcPr>
                        <w:tcW w:w="561" w:type="pct"/>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Native Hawaiian / Pacific Islander</w:t>
                        </w:r>
                      </w:p>
                    </w:tc>
                    <w:tc>
                      <w:tcPr>
                        <w:tcW w:w="550" w:type="pct"/>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Some Other Race</w:t>
                        </w:r>
                      </w:p>
                    </w:tc>
                    <w:tc>
                      <w:tcPr>
                        <w:tcW w:w="555" w:type="pct"/>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Multiple Race</w:t>
                        </w:r>
                      </w:p>
                    </w:tc>
                    <w:tc>
                      <w:tcPr>
                        <w:tcW w:w="556" w:type="pct"/>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Hispanic/Latino</w:t>
                        </w:r>
                      </w:p>
                    </w:tc>
                  </w:tr>
                  <w:tr w:rsidR="00A40EE0" w:rsidRPr="00A40EE0" w:rsidTr="00221A75">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634" w:type="pct"/>
                      </w:tcPr>
                      <w:p w:rsidR="00A40EE0" w:rsidRPr="00A40EE0" w:rsidRDefault="00A40EE0" w:rsidP="00A40EE0">
                        <w:pPr>
                          <w:widowControl/>
                          <w:spacing w:after="0" w:line="240" w:lineRule="auto"/>
                          <w:rPr>
                            <w:rFonts w:ascii="Arial" w:hAnsi="Arial" w:cs="Arial"/>
                            <w:sz w:val="20"/>
                            <w:szCs w:val="22"/>
                          </w:rPr>
                        </w:pPr>
                        <w:r w:rsidRPr="00A40EE0">
                          <w:rPr>
                            <w:rFonts w:ascii="Arial" w:hAnsi="Arial" w:cs="Arial"/>
                            <w:sz w:val="20"/>
                            <w:szCs w:val="22"/>
                          </w:rPr>
                          <w:t xml:space="preserve">KFH-Fontana </w:t>
                        </w:r>
                        <w:r w:rsidRPr="00A40EE0">
                          <w:rPr>
                            <w:rFonts w:ascii="Arial" w:eastAsia="Calibri" w:hAnsi="Arial" w:cs="Arial"/>
                            <w:sz w:val="20"/>
                            <w:szCs w:val="22"/>
                          </w:rPr>
                          <w:t>MCSA</w:t>
                        </w:r>
                      </w:p>
                    </w:tc>
                    <w:tc>
                      <w:tcPr>
                        <w:tcW w:w="429"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sz w:val="20"/>
                            <w:szCs w:val="22"/>
                          </w:rPr>
                          <w:t>19.3%</w:t>
                        </w:r>
                      </w:p>
                    </w:tc>
                    <w:tc>
                      <w:tcPr>
                        <w:tcW w:w="603"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2"/>
                          </w:rPr>
                        </w:pPr>
                        <w:r w:rsidRPr="00A40EE0">
                          <w:rPr>
                            <w:rFonts w:ascii="Arial" w:hAnsi="Arial" w:cs="Arial"/>
                            <w:color w:val="FF0000"/>
                            <w:sz w:val="20"/>
                            <w:szCs w:val="22"/>
                          </w:rPr>
                          <w:t>29.1%</w:t>
                        </w:r>
                      </w:p>
                    </w:tc>
                    <w:tc>
                      <w:tcPr>
                        <w:tcW w:w="599"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2"/>
                          </w:rPr>
                        </w:pPr>
                        <w:r w:rsidRPr="00A40EE0">
                          <w:rPr>
                            <w:rFonts w:ascii="Arial" w:hAnsi="Arial" w:cs="Arial"/>
                            <w:color w:val="FF0000"/>
                            <w:sz w:val="20"/>
                            <w:szCs w:val="22"/>
                          </w:rPr>
                          <w:t>27.0%</w:t>
                        </w:r>
                      </w:p>
                    </w:tc>
                    <w:tc>
                      <w:tcPr>
                        <w:tcW w:w="512"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sz w:val="20"/>
                            <w:szCs w:val="22"/>
                          </w:rPr>
                          <w:t>14.6%</w:t>
                        </w:r>
                      </w:p>
                    </w:tc>
                    <w:tc>
                      <w:tcPr>
                        <w:tcW w:w="561"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sz w:val="20"/>
                            <w:szCs w:val="22"/>
                          </w:rPr>
                          <w:t>16.1%</w:t>
                        </w:r>
                      </w:p>
                    </w:tc>
                    <w:tc>
                      <w:tcPr>
                        <w:tcW w:w="550"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sz w:val="20"/>
                            <w:szCs w:val="22"/>
                          </w:rPr>
                          <w:t>27.1%</w:t>
                        </w:r>
                      </w:p>
                    </w:tc>
                    <w:tc>
                      <w:tcPr>
                        <w:tcW w:w="555"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sz w:val="20"/>
                            <w:szCs w:val="22"/>
                          </w:rPr>
                          <w:t>18.8%</w:t>
                        </w:r>
                      </w:p>
                    </w:tc>
                    <w:tc>
                      <w:tcPr>
                        <w:tcW w:w="556"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color w:val="FF0000"/>
                            <w:sz w:val="20"/>
                            <w:szCs w:val="22"/>
                          </w:rPr>
                          <w:t>25.5%</w:t>
                        </w:r>
                      </w:p>
                    </w:tc>
                  </w:tr>
                  <w:tr w:rsidR="00A40EE0" w:rsidRPr="00A40EE0" w:rsidTr="00221A75">
                    <w:trPr>
                      <w:trHeight w:val="760"/>
                    </w:trPr>
                    <w:tc>
                      <w:tcPr>
                        <w:cnfStyle w:val="001000000000" w:firstRow="0" w:lastRow="0" w:firstColumn="1" w:lastColumn="0" w:oddVBand="0" w:evenVBand="0" w:oddHBand="0" w:evenHBand="0" w:firstRowFirstColumn="0" w:firstRowLastColumn="0" w:lastRowFirstColumn="0" w:lastRowLastColumn="0"/>
                        <w:tcW w:w="634" w:type="pct"/>
                      </w:tcPr>
                      <w:p w:rsidR="00A40EE0" w:rsidRPr="00A40EE0" w:rsidRDefault="00A40EE0" w:rsidP="00A40EE0">
                        <w:pPr>
                          <w:widowControl/>
                          <w:spacing w:after="0" w:line="240" w:lineRule="auto"/>
                          <w:rPr>
                            <w:rFonts w:ascii="Arial" w:hAnsi="Arial" w:cs="Arial"/>
                            <w:sz w:val="20"/>
                            <w:szCs w:val="22"/>
                          </w:rPr>
                        </w:pPr>
                        <w:r w:rsidRPr="00A40EE0">
                          <w:rPr>
                            <w:rFonts w:ascii="Arial" w:hAnsi="Arial" w:cs="Arial"/>
                            <w:sz w:val="20"/>
                            <w:szCs w:val="22"/>
                          </w:rPr>
                          <w:t xml:space="preserve">KFH-Ontario </w:t>
                        </w:r>
                        <w:r w:rsidRPr="00A40EE0">
                          <w:rPr>
                            <w:rFonts w:ascii="Arial" w:eastAsia="Calibri" w:hAnsi="Arial" w:cs="Arial"/>
                            <w:sz w:val="20"/>
                            <w:szCs w:val="22"/>
                          </w:rPr>
                          <w:t>MCSA</w:t>
                        </w:r>
                      </w:p>
                    </w:tc>
                    <w:tc>
                      <w:tcPr>
                        <w:tcW w:w="429"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12.7%</w:t>
                        </w:r>
                      </w:p>
                    </w:tc>
                    <w:tc>
                      <w:tcPr>
                        <w:tcW w:w="603"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15.2%</w:t>
                        </w:r>
                      </w:p>
                    </w:tc>
                    <w:tc>
                      <w:tcPr>
                        <w:tcW w:w="599"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14.0%</w:t>
                        </w:r>
                      </w:p>
                    </w:tc>
                    <w:tc>
                      <w:tcPr>
                        <w:tcW w:w="512"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9.8%</w:t>
                        </w:r>
                      </w:p>
                    </w:tc>
                    <w:tc>
                      <w:tcPr>
                        <w:tcW w:w="561"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15.4%</w:t>
                        </w:r>
                      </w:p>
                    </w:tc>
                    <w:tc>
                      <w:tcPr>
                        <w:tcW w:w="550"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20.2%</w:t>
                        </w:r>
                      </w:p>
                    </w:tc>
                    <w:tc>
                      <w:tcPr>
                        <w:tcW w:w="555"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11.7%</w:t>
                        </w:r>
                      </w:p>
                    </w:tc>
                    <w:tc>
                      <w:tcPr>
                        <w:tcW w:w="556"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17.6%</w:t>
                        </w:r>
                      </w:p>
                    </w:tc>
                  </w:tr>
                  <w:tr w:rsidR="00A40EE0" w:rsidRPr="00A40EE0" w:rsidTr="00221A75">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634" w:type="pct"/>
                      </w:tcPr>
                      <w:p w:rsidR="00A40EE0" w:rsidRPr="00A40EE0" w:rsidRDefault="00A40EE0" w:rsidP="00A40EE0">
                        <w:pPr>
                          <w:widowControl/>
                          <w:spacing w:after="0" w:line="240" w:lineRule="auto"/>
                          <w:rPr>
                            <w:rFonts w:ascii="Arial" w:hAnsi="Arial" w:cs="Arial"/>
                            <w:sz w:val="20"/>
                            <w:szCs w:val="22"/>
                          </w:rPr>
                        </w:pPr>
                        <w:r w:rsidRPr="00A40EE0">
                          <w:rPr>
                            <w:rFonts w:ascii="Arial" w:hAnsi="Arial" w:cs="Arial"/>
                            <w:sz w:val="20"/>
                            <w:szCs w:val="22"/>
                          </w:rPr>
                          <w:t>S CA MCA</w:t>
                        </w:r>
                      </w:p>
                    </w:tc>
                    <w:tc>
                      <w:tcPr>
                        <w:tcW w:w="429"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sz w:val="20"/>
                            <w:szCs w:val="22"/>
                          </w:rPr>
                          <w:t>15.0%</w:t>
                        </w:r>
                      </w:p>
                    </w:tc>
                    <w:tc>
                      <w:tcPr>
                        <w:tcW w:w="603"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sz w:val="20"/>
                            <w:szCs w:val="22"/>
                          </w:rPr>
                          <w:t>23.8%</w:t>
                        </w:r>
                      </w:p>
                    </w:tc>
                    <w:tc>
                      <w:tcPr>
                        <w:tcW w:w="599"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sz w:val="20"/>
                            <w:szCs w:val="22"/>
                          </w:rPr>
                          <w:t>22.3%</w:t>
                        </w:r>
                      </w:p>
                    </w:tc>
                    <w:tc>
                      <w:tcPr>
                        <w:tcW w:w="512"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sz w:val="20"/>
                            <w:szCs w:val="22"/>
                          </w:rPr>
                          <w:t>12.0%</w:t>
                        </w:r>
                      </w:p>
                    </w:tc>
                    <w:tc>
                      <w:tcPr>
                        <w:tcW w:w="561"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sz w:val="20"/>
                            <w:szCs w:val="22"/>
                          </w:rPr>
                          <w:t>16.9%</w:t>
                        </w:r>
                      </w:p>
                    </w:tc>
                    <w:tc>
                      <w:tcPr>
                        <w:tcW w:w="550"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sz w:val="20"/>
                            <w:szCs w:val="22"/>
                          </w:rPr>
                          <w:t>25.5%</w:t>
                        </w:r>
                      </w:p>
                    </w:tc>
                    <w:tc>
                      <w:tcPr>
                        <w:tcW w:w="555"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sz w:val="20"/>
                            <w:szCs w:val="22"/>
                          </w:rPr>
                          <w:t>15.2%</w:t>
                        </w:r>
                      </w:p>
                    </w:tc>
                    <w:tc>
                      <w:tcPr>
                        <w:tcW w:w="556" w:type="pct"/>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40EE0">
                          <w:rPr>
                            <w:rFonts w:ascii="Arial" w:hAnsi="Arial" w:cs="Arial"/>
                            <w:sz w:val="20"/>
                            <w:szCs w:val="22"/>
                          </w:rPr>
                          <w:t>22.9%</w:t>
                        </w:r>
                      </w:p>
                    </w:tc>
                  </w:tr>
                  <w:tr w:rsidR="00A40EE0" w:rsidRPr="00A40EE0" w:rsidTr="00221A75">
                    <w:trPr>
                      <w:trHeight w:val="268"/>
                    </w:trPr>
                    <w:tc>
                      <w:tcPr>
                        <w:cnfStyle w:val="001000000000" w:firstRow="0" w:lastRow="0" w:firstColumn="1" w:lastColumn="0" w:oddVBand="0" w:evenVBand="0" w:oddHBand="0" w:evenHBand="0" w:firstRowFirstColumn="0" w:firstRowLastColumn="0" w:lastRowFirstColumn="0" w:lastRowLastColumn="0"/>
                        <w:tcW w:w="634" w:type="pct"/>
                      </w:tcPr>
                      <w:p w:rsidR="00A40EE0" w:rsidRPr="00A40EE0" w:rsidRDefault="00A40EE0" w:rsidP="00A40EE0">
                        <w:pPr>
                          <w:widowControl/>
                          <w:spacing w:after="0" w:line="240" w:lineRule="auto"/>
                          <w:rPr>
                            <w:rFonts w:ascii="Arial" w:hAnsi="Arial" w:cs="Arial"/>
                            <w:sz w:val="20"/>
                            <w:szCs w:val="22"/>
                          </w:rPr>
                        </w:pPr>
                        <w:r w:rsidRPr="00A40EE0">
                          <w:rPr>
                            <w:rFonts w:ascii="Arial" w:hAnsi="Arial" w:cs="Arial"/>
                            <w:sz w:val="20"/>
                            <w:szCs w:val="22"/>
                          </w:rPr>
                          <w:t>California</w:t>
                        </w:r>
                      </w:p>
                    </w:tc>
                    <w:tc>
                      <w:tcPr>
                        <w:tcW w:w="429"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14.7%</w:t>
                        </w:r>
                      </w:p>
                    </w:tc>
                    <w:tc>
                      <w:tcPr>
                        <w:tcW w:w="603"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24.8%</w:t>
                        </w:r>
                      </w:p>
                    </w:tc>
                    <w:tc>
                      <w:tcPr>
                        <w:tcW w:w="599"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24.2%</w:t>
                        </w:r>
                      </w:p>
                    </w:tc>
                    <w:tc>
                      <w:tcPr>
                        <w:tcW w:w="512"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12.0%</w:t>
                        </w:r>
                      </w:p>
                    </w:tc>
                    <w:tc>
                      <w:tcPr>
                        <w:tcW w:w="561"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16.9%</w:t>
                        </w:r>
                      </w:p>
                    </w:tc>
                    <w:tc>
                      <w:tcPr>
                        <w:tcW w:w="550"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25.3%</w:t>
                        </w:r>
                      </w:p>
                    </w:tc>
                    <w:tc>
                      <w:tcPr>
                        <w:tcW w:w="555" w:type="pct"/>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16.0%</w:t>
                        </w:r>
                      </w:p>
                    </w:tc>
                    <w:tc>
                      <w:tcPr>
                        <w:tcW w:w="556" w:type="pct"/>
                        <w:vAlign w:val="center"/>
                      </w:tcPr>
                      <w:p w:rsidR="00A40EE0" w:rsidRPr="00A40EE0" w:rsidRDefault="00A40EE0" w:rsidP="00A40EE0">
                        <w:pPr>
                          <w:widowControl/>
                          <w:tabs>
                            <w:tab w:val="left" w:pos="270"/>
                            <w:tab w:val="center" w:pos="51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40EE0">
                          <w:rPr>
                            <w:rFonts w:ascii="Arial" w:hAnsi="Arial" w:cs="Arial"/>
                            <w:sz w:val="20"/>
                            <w:szCs w:val="22"/>
                          </w:rPr>
                          <w:t>23.1%</w:t>
                        </w:r>
                      </w:p>
                    </w:tc>
                  </w:tr>
                </w:tbl>
                <w:p w:rsidR="00A40EE0" w:rsidRPr="00A40EE0" w:rsidRDefault="00A40EE0" w:rsidP="00A40EE0">
                  <w:pPr>
                    <w:widowControl/>
                    <w:spacing w:after="0" w:line="240" w:lineRule="auto"/>
                    <w:rPr>
                      <w:rFonts w:ascii="Arial" w:eastAsia="Times New Roman" w:hAnsi="Arial" w:cs="Arial"/>
                      <w:i/>
                      <w:color w:val="000000"/>
                      <w:sz w:val="20"/>
                      <w:szCs w:val="18"/>
                    </w:rPr>
                  </w:pPr>
                  <w:r w:rsidRPr="00A40EE0">
                    <w:rPr>
                      <w:rFonts w:ascii="Arial" w:eastAsia="Calibri" w:hAnsi="Arial" w:cs="Arial"/>
                      <w:i/>
                      <w:color w:val="737373"/>
                      <w:sz w:val="20"/>
                      <w:szCs w:val="18"/>
                    </w:rPr>
                    <w:t xml:space="preserve"> </w:t>
                  </w:r>
                  <w:r w:rsidRPr="00A40EE0">
                    <w:rPr>
                      <w:rFonts w:ascii="Arial" w:eastAsia="Calibri" w:hAnsi="Arial" w:cs="Arial"/>
                      <w:i/>
                      <w:sz w:val="20"/>
                      <w:szCs w:val="18"/>
                    </w:rPr>
                    <w:t>Source:</w:t>
                  </w:r>
                  <w:r w:rsidRPr="00A40EE0">
                    <w:rPr>
                      <w:rFonts w:ascii="Arial" w:eastAsia="Calibri" w:hAnsi="Arial" w:cs="Arial"/>
                      <w:i/>
                      <w:color w:val="000000"/>
                      <w:sz w:val="20"/>
                      <w:szCs w:val="18"/>
                    </w:rPr>
                    <w:t xml:space="preserve"> </w:t>
                  </w:r>
                  <w:r w:rsidRPr="00A40EE0">
                    <w:rPr>
                      <w:rFonts w:ascii="Arial" w:eastAsia="Times New Roman" w:hAnsi="Arial" w:cs="Arial"/>
                      <w:i/>
                      <w:color w:val="000000"/>
                      <w:sz w:val="20"/>
                      <w:szCs w:val="18"/>
                    </w:rPr>
                    <w:t>US Census Bureau, American Community Survey. 2010-14.</w:t>
                  </w:r>
                </w:p>
              </w:tc>
            </w:tr>
          </w:tbl>
          <w:p w:rsidR="00A40EE0" w:rsidRPr="00A40EE0" w:rsidRDefault="00A40EE0" w:rsidP="00A40EE0">
            <w:pPr>
              <w:spacing w:after="0" w:line="240" w:lineRule="auto"/>
              <w:rPr>
                <w:rFonts w:ascii="Arial" w:eastAsia="Arial" w:hAnsi="Arial" w:cs="Arial"/>
                <w:color w:val="000000"/>
                <w:sz w:val="22"/>
                <w:szCs w:val="22"/>
              </w:rPr>
            </w:pPr>
          </w:p>
        </w:tc>
      </w:tr>
      <w:tr w:rsidR="00A40EE0" w:rsidRPr="00A40EE0" w:rsidTr="00C542D4">
        <w:trPr>
          <w:trHeight w:val="250"/>
        </w:trPr>
        <w:tc>
          <w:tcPr>
            <w:tcW w:w="5000" w:type="pct"/>
            <w:gridSpan w:val="5"/>
            <w:tcBorders>
              <w:top w:val="nil"/>
              <w:left w:val="nil"/>
              <w:bottom w:val="nil"/>
              <w:right w:val="nil"/>
            </w:tcBorders>
            <w:tcMar>
              <w:top w:w="100" w:type="dxa"/>
              <w:left w:w="100" w:type="dxa"/>
              <w:bottom w:w="100" w:type="dxa"/>
              <w:right w:w="100" w:type="dxa"/>
            </w:tcMar>
          </w:tcPr>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color w:val="000000"/>
                <w:sz w:val="22"/>
                <w:szCs w:val="22"/>
              </w:rPr>
              <w:t>Blacks and Hispanic or Latinos have the lowest high school graduation rates in the KFH-Fontana/Ontario Medical Center Service Areas, for the S CA MCA, and statewide.</w:t>
            </w:r>
          </w:p>
          <w:p w:rsidR="00A40EE0" w:rsidRPr="00A40EE0" w:rsidRDefault="00A40EE0" w:rsidP="00A40EE0">
            <w:pPr>
              <w:spacing w:after="0" w:line="240" w:lineRule="auto"/>
              <w:rPr>
                <w:rFonts w:ascii="Arial" w:eastAsia="Arial" w:hAnsi="Arial" w:cs="Arial"/>
                <w:i/>
                <w:color w:val="737373"/>
                <w:sz w:val="18"/>
                <w:szCs w:val="18"/>
              </w:rPr>
            </w:pPr>
          </w:p>
          <w:p w:rsidR="00A40EE0" w:rsidRPr="00A40EE0" w:rsidRDefault="00A40EE0" w:rsidP="00A40EE0">
            <w:pPr>
              <w:spacing w:after="0" w:line="240" w:lineRule="auto"/>
              <w:jc w:val="center"/>
              <w:rPr>
                <w:rFonts w:ascii="Arial" w:eastAsia="Arial" w:hAnsi="Arial" w:cs="Arial"/>
                <w:b/>
                <w:color w:val="000000"/>
                <w:sz w:val="22"/>
                <w:szCs w:val="22"/>
              </w:rPr>
            </w:pPr>
            <w:r w:rsidRPr="00A40EE0">
              <w:rPr>
                <w:rFonts w:ascii="Arial" w:eastAsia="Arial" w:hAnsi="Arial" w:cs="Arial"/>
                <w:b/>
                <w:color w:val="000000"/>
                <w:sz w:val="22"/>
                <w:szCs w:val="22"/>
              </w:rPr>
              <w:t>High School Graduation Rate (Per 100,000 Population) by Race/Ethnicity</w:t>
            </w:r>
          </w:p>
          <w:tbl>
            <w:tblPr>
              <w:tblStyle w:val="LightList12"/>
              <w:tblW w:w="0" w:type="auto"/>
              <w:tblLook w:val="04A0" w:firstRow="1" w:lastRow="0" w:firstColumn="1" w:lastColumn="0" w:noHBand="0" w:noVBand="1"/>
            </w:tblPr>
            <w:tblGrid>
              <w:gridCol w:w="2329"/>
              <w:gridCol w:w="1258"/>
              <w:gridCol w:w="1481"/>
              <w:gridCol w:w="1504"/>
              <w:gridCol w:w="1505"/>
              <w:gridCol w:w="1539"/>
            </w:tblGrid>
            <w:tr w:rsidR="00A40EE0" w:rsidRPr="00A40EE0" w:rsidTr="00221A75">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2329" w:type="dxa"/>
                </w:tcPr>
                <w:p w:rsidR="00A40EE0" w:rsidRPr="00A40EE0" w:rsidRDefault="00A40EE0" w:rsidP="00A40EE0">
                  <w:pPr>
                    <w:widowControl/>
                    <w:spacing w:after="0" w:line="240" w:lineRule="auto"/>
                    <w:rPr>
                      <w:rFonts w:ascii="Arial" w:hAnsi="Arial" w:cs="Arial"/>
                      <w:sz w:val="22"/>
                      <w:szCs w:val="22"/>
                    </w:rPr>
                  </w:pPr>
                </w:p>
              </w:tc>
              <w:tc>
                <w:tcPr>
                  <w:tcW w:w="1258" w:type="dxa"/>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Non-Hispanic White</w:t>
                  </w:r>
                </w:p>
              </w:tc>
              <w:tc>
                <w:tcPr>
                  <w:tcW w:w="1481" w:type="dxa"/>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Black</w:t>
                  </w:r>
                </w:p>
              </w:tc>
              <w:tc>
                <w:tcPr>
                  <w:tcW w:w="1504" w:type="dxa"/>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Asian</w:t>
                  </w:r>
                </w:p>
              </w:tc>
              <w:tc>
                <w:tcPr>
                  <w:tcW w:w="1505" w:type="dxa"/>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Non-Hispanic Other Race</w:t>
                  </w:r>
                </w:p>
              </w:tc>
              <w:tc>
                <w:tcPr>
                  <w:tcW w:w="1539" w:type="dxa"/>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Hispanic or Latino</w:t>
                  </w:r>
                </w:p>
              </w:tc>
            </w:tr>
            <w:tr w:rsidR="00A40EE0" w:rsidRPr="00A40EE0" w:rsidTr="00221A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329" w:type="dxa"/>
                </w:tcPr>
                <w:p w:rsidR="00A40EE0" w:rsidRPr="00A40EE0" w:rsidRDefault="00A40EE0" w:rsidP="00A40EE0">
                  <w:pPr>
                    <w:widowControl/>
                    <w:spacing w:after="0" w:line="240" w:lineRule="auto"/>
                    <w:rPr>
                      <w:rFonts w:ascii="Arial" w:hAnsi="Arial" w:cs="Arial"/>
                      <w:sz w:val="22"/>
                      <w:szCs w:val="22"/>
                    </w:rPr>
                  </w:pPr>
                  <w:r w:rsidRPr="00A40EE0">
                    <w:rPr>
                      <w:rFonts w:ascii="Arial" w:hAnsi="Arial" w:cs="Arial"/>
                      <w:sz w:val="22"/>
                      <w:szCs w:val="22"/>
                    </w:rPr>
                    <w:t xml:space="preserve">KFH-Fontana </w:t>
                  </w:r>
                  <w:r w:rsidRPr="00A40EE0">
                    <w:rPr>
                      <w:rFonts w:ascii="Arial" w:eastAsia="Calibri" w:hAnsi="Arial" w:cs="Arial"/>
                      <w:sz w:val="22"/>
                      <w:szCs w:val="22"/>
                    </w:rPr>
                    <w:t>MCSA</w:t>
                  </w:r>
                </w:p>
              </w:tc>
              <w:tc>
                <w:tcPr>
                  <w:tcW w:w="1258"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87.7</w:t>
                  </w:r>
                </w:p>
              </w:tc>
              <w:tc>
                <w:tcPr>
                  <w:tcW w:w="1481"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color w:val="FF0000"/>
                      <w:sz w:val="22"/>
                      <w:szCs w:val="22"/>
                    </w:rPr>
                    <w:t>76.1</w:t>
                  </w:r>
                </w:p>
              </w:tc>
              <w:tc>
                <w:tcPr>
                  <w:tcW w:w="1504"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88.9</w:t>
                  </w:r>
                </w:p>
              </w:tc>
              <w:tc>
                <w:tcPr>
                  <w:tcW w:w="1505"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75.2</w:t>
                  </w:r>
                </w:p>
              </w:tc>
              <w:tc>
                <w:tcPr>
                  <w:tcW w:w="1539"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color w:val="FF0000"/>
                      <w:sz w:val="22"/>
                      <w:szCs w:val="22"/>
                    </w:rPr>
                    <w:t>82.1</w:t>
                  </w:r>
                </w:p>
              </w:tc>
            </w:tr>
            <w:tr w:rsidR="00A40EE0" w:rsidRPr="00A40EE0" w:rsidTr="00221A75">
              <w:trPr>
                <w:trHeight w:val="494"/>
              </w:trPr>
              <w:tc>
                <w:tcPr>
                  <w:cnfStyle w:val="001000000000" w:firstRow="0" w:lastRow="0" w:firstColumn="1" w:lastColumn="0" w:oddVBand="0" w:evenVBand="0" w:oddHBand="0" w:evenHBand="0" w:firstRowFirstColumn="0" w:firstRowLastColumn="0" w:lastRowFirstColumn="0" w:lastRowLastColumn="0"/>
                  <w:tcW w:w="2329" w:type="dxa"/>
                </w:tcPr>
                <w:p w:rsidR="00A40EE0" w:rsidRPr="00A40EE0" w:rsidRDefault="00A40EE0" w:rsidP="00A40EE0">
                  <w:pPr>
                    <w:widowControl/>
                    <w:spacing w:after="0" w:line="240" w:lineRule="auto"/>
                    <w:rPr>
                      <w:rFonts w:ascii="Arial" w:hAnsi="Arial" w:cs="Arial"/>
                      <w:sz w:val="22"/>
                      <w:szCs w:val="22"/>
                    </w:rPr>
                  </w:pPr>
                  <w:r w:rsidRPr="00A40EE0">
                    <w:rPr>
                      <w:rFonts w:ascii="Arial" w:hAnsi="Arial" w:cs="Arial"/>
                      <w:sz w:val="22"/>
                      <w:szCs w:val="22"/>
                    </w:rPr>
                    <w:t xml:space="preserve">KFH-Ontario </w:t>
                  </w:r>
                  <w:r w:rsidRPr="00A40EE0">
                    <w:rPr>
                      <w:rFonts w:ascii="Arial" w:eastAsia="Calibri" w:hAnsi="Arial" w:cs="Arial"/>
                      <w:sz w:val="22"/>
                      <w:szCs w:val="22"/>
                    </w:rPr>
                    <w:t>MCSA</w:t>
                  </w:r>
                </w:p>
              </w:tc>
              <w:tc>
                <w:tcPr>
                  <w:tcW w:w="1258"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93.9</w:t>
                  </w:r>
                </w:p>
              </w:tc>
              <w:tc>
                <w:tcPr>
                  <w:tcW w:w="1481"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color w:val="FF0000"/>
                      <w:sz w:val="22"/>
                      <w:szCs w:val="22"/>
                    </w:rPr>
                    <w:t>85.4</w:t>
                  </w:r>
                </w:p>
              </w:tc>
              <w:tc>
                <w:tcPr>
                  <w:tcW w:w="1504"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96.4</w:t>
                  </w:r>
                </w:p>
              </w:tc>
              <w:tc>
                <w:tcPr>
                  <w:tcW w:w="1505"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94.0</w:t>
                  </w:r>
                </w:p>
              </w:tc>
              <w:tc>
                <w:tcPr>
                  <w:tcW w:w="1539"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color w:val="FF0000"/>
                      <w:sz w:val="22"/>
                      <w:szCs w:val="22"/>
                    </w:rPr>
                    <w:t>83.9</w:t>
                  </w:r>
                </w:p>
              </w:tc>
            </w:tr>
            <w:tr w:rsidR="00A40EE0" w:rsidRPr="00A40EE0" w:rsidTr="00221A75">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329" w:type="dxa"/>
                </w:tcPr>
                <w:p w:rsidR="00A40EE0" w:rsidRPr="00A40EE0" w:rsidRDefault="00A40EE0" w:rsidP="00A40EE0">
                  <w:pPr>
                    <w:widowControl/>
                    <w:spacing w:after="0" w:line="240" w:lineRule="auto"/>
                    <w:rPr>
                      <w:rFonts w:ascii="Arial" w:hAnsi="Arial" w:cs="Arial"/>
                      <w:sz w:val="22"/>
                      <w:szCs w:val="22"/>
                    </w:rPr>
                  </w:pPr>
                  <w:r w:rsidRPr="00A40EE0">
                    <w:rPr>
                      <w:rFonts w:ascii="Arial" w:hAnsi="Arial" w:cs="Arial"/>
                      <w:sz w:val="22"/>
                      <w:szCs w:val="22"/>
                    </w:rPr>
                    <w:t>S CA MCA</w:t>
                  </w:r>
                </w:p>
              </w:tc>
              <w:tc>
                <w:tcPr>
                  <w:tcW w:w="1258" w:type="dxa"/>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91.6</w:t>
                  </w:r>
                </w:p>
              </w:tc>
              <w:tc>
                <w:tcPr>
                  <w:tcW w:w="1481" w:type="dxa"/>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77.3</w:t>
                  </w:r>
                </w:p>
              </w:tc>
              <w:tc>
                <w:tcPr>
                  <w:tcW w:w="1504" w:type="dxa"/>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94.2</w:t>
                  </w:r>
                </w:p>
              </w:tc>
              <w:tc>
                <w:tcPr>
                  <w:tcW w:w="1505" w:type="dxa"/>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89.0</w:t>
                  </w:r>
                </w:p>
              </w:tc>
              <w:tc>
                <w:tcPr>
                  <w:tcW w:w="1539" w:type="dxa"/>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80.3</w:t>
                  </w:r>
                </w:p>
              </w:tc>
            </w:tr>
            <w:tr w:rsidR="00A40EE0" w:rsidRPr="00A40EE0" w:rsidTr="00221A75">
              <w:trPr>
                <w:trHeight w:val="262"/>
              </w:trPr>
              <w:tc>
                <w:tcPr>
                  <w:cnfStyle w:val="001000000000" w:firstRow="0" w:lastRow="0" w:firstColumn="1" w:lastColumn="0" w:oddVBand="0" w:evenVBand="0" w:oddHBand="0" w:evenHBand="0" w:firstRowFirstColumn="0" w:firstRowLastColumn="0" w:lastRowFirstColumn="0" w:lastRowLastColumn="0"/>
                  <w:tcW w:w="2329" w:type="dxa"/>
                </w:tcPr>
                <w:p w:rsidR="00A40EE0" w:rsidRPr="00A40EE0" w:rsidRDefault="00A40EE0" w:rsidP="00A40EE0">
                  <w:pPr>
                    <w:widowControl/>
                    <w:spacing w:after="0" w:line="240" w:lineRule="auto"/>
                    <w:rPr>
                      <w:rFonts w:ascii="Arial" w:hAnsi="Arial" w:cs="Arial"/>
                      <w:sz w:val="22"/>
                      <w:szCs w:val="22"/>
                    </w:rPr>
                  </w:pPr>
                  <w:r w:rsidRPr="00A40EE0">
                    <w:rPr>
                      <w:rFonts w:ascii="Arial" w:hAnsi="Arial" w:cs="Arial"/>
                      <w:sz w:val="22"/>
                      <w:szCs w:val="22"/>
                    </w:rPr>
                    <w:t>California</w:t>
                  </w:r>
                </w:p>
              </w:tc>
              <w:tc>
                <w:tcPr>
                  <w:tcW w:w="1258" w:type="dxa"/>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87.7</w:t>
                  </w:r>
                </w:p>
              </w:tc>
              <w:tc>
                <w:tcPr>
                  <w:tcW w:w="1481" w:type="dxa"/>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68.1</w:t>
                  </w:r>
                </w:p>
              </w:tc>
              <w:tc>
                <w:tcPr>
                  <w:tcW w:w="1504" w:type="dxa"/>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91.2</w:t>
                  </w:r>
                </w:p>
              </w:tc>
              <w:tc>
                <w:tcPr>
                  <w:tcW w:w="1505" w:type="dxa"/>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85.7</w:t>
                  </w:r>
                </w:p>
              </w:tc>
              <w:tc>
                <w:tcPr>
                  <w:tcW w:w="1539" w:type="dxa"/>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75.7</w:t>
                  </w:r>
                </w:p>
              </w:tc>
            </w:tr>
          </w:tbl>
          <w:p w:rsidR="00A40EE0" w:rsidRPr="00A40EE0" w:rsidRDefault="00A40EE0" w:rsidP="00A40EE0">
            <w:pPr>
              <w:spacing w:after="0" w:line="240" w:lineRule="auto"/>
              <w:ind w:left="50"/>
              <w:rPr>
                <w:rFonts w:ascii="Arial" w:eastAsia="Arial" w:hAnsi="Arial" w:cs="Arial"/>
                <w:i/>
                <w:iCs/>
                <w:color w:val="737373"/>
                <w:sz w:val="18"/>
                <w:szCs w:val="18"/>
              </w:rPr>
            </w:pPr>
            <w:r w:rsidRPr="00A40EE0">
              <w:rPr>
                <w:rFonts w:ascii="Arial" w:eastAsia="Arial" w:hAnsi="Arial" w:cs="Arial"/>
                <w:i/>
                <w:iCs/>
                <w:color w:val="737373"/>
                <w:sz w:val="18"/>
                <w:szCs w:val="18"/>
              </w:rPr>
              <w:t>California Department of Education, 2013.</w:t>
            </w:r>
          </w:p>
        </w:tc>
      </w:tr>
      <w:tr w:rsidR="00A40EE0" w:rsidRPr="00A40EE0" w:rsidTr="00C542D4">
        <w:trPr>
          <w:trHeight w:val="660"/>
        </w:trPr>
        <w:tc>
          <w:tcPr>
            <w:tcW w:w="5000" w:type="pct"/>
            <w:gridSpan w:val="5"/>
            <w:tcBorders>
              <w:top w:val="nil"/>
              <w:left w:val="nil"/>
              <w:bottom w:val="nil"/>
              <w:right w:val="nil"/>
            </w:tcBorders>
            <w:tcMar>
              <w:top w:w="100" w:type="dxa"/>
              <w:left w:w="100" w:type="dxa"/>
              <w:bottom w:w="100" w:type="dxa"/>
              <w:right w:w="100" w:type="dxa"/>
            </w:tcMar>
          </w:tcPr>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color w:val="000000"/>
                <w:sz w:val="22"/>
                <w:szCs w:val="22"/>
              </w:rPr>
              <w:t>This indicator reports the percentage of children in grade 4 whose reading skills tested below the "proficient" level for the CST English Language Arts portion of the California STAR test. In the KFH-Fontana Medical Center Service Area, Blacks, Native American/Alaskan Natives and Native Hawaiian/Pacific Islanders have the highest percent of 4</w:t>
            </w:r>
            <w:r w:rsidRPr="00A40EE0">
              <w:rPr>
                <w:rFonts w:ascii="Arial" w:eastAsia="Arial" w:hAnsi="Arial" w:cs="Arial"/>
                <w:color w:val="000000"/>
                <w:sz w:val="22"/>
                <w:szCs w:val="22"/>
                <w:vertAlign w:val="superscript"/>
              </w:rPr>
              <w:t>th</w:t>
            </w:r>
            <w:r w:rsidRPr="00A40EE0">
              <w:rPr>
                <w:rFonts w:ascii="Arial" w:eastAsia="Arial" w:hAnsi="Arial" w:cs="Arial"/>
                <w:color w:val="000000"/>
                <w:sz w:val="22"/>
                <w:szCs w:val="22"/>
              </w:rPr>
              <w:t xml:space="preserve"> graders with “non- proficient” reading levels. Similar trends are seen at the S CA MCA and state level. In the KFH-Ontario Medical Center Service Area, Hispanic or Latinos and Blacks have the highest percentage of 4</w:t>
            </w:r>
            <w:r w:rsidRPr="00A40EE0">
              <w:rPr>
                <w:rFonts w:ascii="Arial" w:eastAsia="Arial" w:hAnsi="Arial" w:cs="Arial"/>
                <w:color w:val="000000"/>
                <w:sz w:val="22"/>
                <w:szCs w:val="22"/>
                <w:vertAlign w:val="superscript"/>
              </w:rPr>
              <w:t>th</w:t>
            </w:r>
            <w:r w:rsidRPr="00A40EE0">
              <w:rPr>
                <w:rFonts w:ascii="Arial" w:eastAsia="Arial" w:hAnsi="Arial" w:cs="Arial"/>
                <w:color w:val="000000"/>
                <w:sz w:val="22"/>
                <w:szCs w:val="22"/>
              </w:rPr>
              <w:t xml:space="preserve"> graders with “non-proficient” reading levels.</w:t>
            </w:r>
          </w:p>
          <w:p w:rsidR="00A40EE0" w:rsidRDefault="00A40EE0" w:rsidP="00A40EE0">
            <w:pPr>
              <w:spacing w:after="0" w:line="240" w:lineRule="auto"/>
              <w:rPr>
                <w:rFonts w:ascii="Arial" w:eastAsia="Arial" w:hAnsi="Arial" w:cs="Arial"/>
                <w:color w:val="000000"/>
                <w:sz w:val="22"/>
                <w:szCs w:val="22"/>
              </w:rPr>
            </w:pPr>
          </w:p>
          <w:p w:rsidR="00D44882" w:rsidRDefault="00D44882" w:rsidP="00A40EE0">
            <w:pPr>
              <w:spacing w:after="0" w:line="240" w:lineRule="auto"/>
              <w:rPr>
                <w:rFonts w:ascii="Arial" w:eastAsia="Arial" w:hAnsi="Arial" w:cs="Arial"/>
                <w:color w:val="000000"/>
                <w:sz w:val="22"/>
                <w:szCs w:val="22"/>
              </w:rPr>
            </w:pPr>
          </w:p>
          <w:p w:rsidR="00D44882" w:rsidRDefault="00D44882" w:rsidP="00A40EE0">
            <w:pPr>
              <w:spacing w:after="0" w:line="240" w:lineRule="auto"/>
              <w:rPr>
                <w:rFonts w:ascii="Arial" w:eastAsia="Arial" w:hAnsi="Arial" w:cs="Arial"/>
                <w:color w:val="000000"/>
                <w:sz w:val="22"/>
                <w:szCs w:val="22"/>
              </w:rPr>
            </w:pPr>
          </w:p>
          <w:p w:rsidR="00D44882" w:rsidRDefault="00D44882" w:rsidP="00A40EE0">
            <w:pPr>
              <w:spacing w:after="0" w:line="240" w:lineRule="auto"/>
              <w:rPr>
                <w:rFonts w:ascii="Arial" w:eastAsia="Arial" w:hAnsi="Arial" w:cs="Arial"/>
                <w:color w:val="000000"/>
                <w:sz w:val="22"/>
                <w:szCs w:val="22"/>
              </w:rPr>
            </w:pPr>
          </w:p>
          <w:p w:rsidR="00D44882" w:rsidRDefault="00D44882" w:rsidP="00A40EE0">
            <w:pPr>
              <w:spacing w:after="0" w:line="240" w:lineRule="auto"/>
              <w:rPr>
                <w:rFonts w:ascii="Arial" w:eastAsia="Arial" w:hAnsi="Arial" w:cs="Arial"/>
                <w:color w:val="000000"/>
                <w:sz w:val="22"/>
                <w:szCs w:val="22"/>
              </w:rPr>
            </w:pPr>
          </w:p>
          <w:p w:rsidR="00D44882" w:rsidRPr="00A40EE0" w:rsidRDefault="00D44882" w:rsidP="00A40EE0">
            <w:pPr>
              <w:spacing w:after="0" w:line="240" w:lineRule="auto"/>
              <w:rPr>
                <w:rFonts w:ascii="Arial" w:eastAsia="Arial" w:hAnsi="Arial" w:cs="Arial"/>
                <w:color w:val="000000"/>
                <w:sz w:val="22"/>
                <w:szCs w:val="22"/>
              </w:rPr>
            </w:pPr>
            <w:bookmarkStart w:id="10" w:name="_GoBack"/>
            <w:bookmarkEnd w:id="10"/>
          </w:p>
          <w:p w:rsidR="00A40EE0" w:rsidRPr="00A40EE0" w:rsidRDefault="00A40EE0" w:rsidP="00A40EE0">
            <w:pPr>
              <w:spacing w:after="0" w:line="240" w:lineRule="auto"/>
              <w:jc w:val="center"/>
              <w:rPr>
                <w:rFonts w:ascii="Arial" w:eastAsia="Arial" w:hAnsi="Arial" w:cs="Arial"/>
                <w:b/>
                <w:color w:val="000000"/>
                <w:sz w:val="22"/>
                <w:szCs w:val="22"/>
              </w:rPr>
            </w:pPr>
            <w:r w:rsidRPr="00A40EE0">
              <w:rPr>
                <w:rFonts w:ascii="Arial" w:eastAsia="Arial" w:hAnsi="Arial" w:cs="Arial"/>
                <w:b/>
                <w:color w:val="000000"/>
                <w:sz w:val="22"/>
                <w:szCs w:val="22"/>
              </w:rPr>
              <w:t>Student Reading Scores “Not Proficient” of Worse, by Race/Ethnicity</w:t>
            </w:r>
          </w:p>
          <w:tbl>
            <w:tblPr>
              <w:tblStyle w:val="LightList12"/>
              <w:tblW w:w="0" w:type="auto"/>
              <w:tblLook w:val="04A0" w:firstRow="1" w:lastRow="0" w:firstColumn="1" w:lastColumn="0" w:noHBand="0" w:noVBand="1"/>
            </w:tblPr>
            <w:tblGrid>
              <w:gridCol w:w="1794"/>
              <w:gridCol w:w="1311"/>
              <w:gridCol w:w="1311"/>
              <w:gridCol w:w="1311"/>
              <w:gridCol w:w="1312"/>
              <w:gridCol w:w="1311"/>
              <w:gridCol w:w="1271"/>
            </w:tblGrid>
            <w:tr w:rsidR="00A40EE0" w:rsidRPr="00A40EE0" w:rsidTr="00221A75">
              <w:trPr>
                <w:cnfStyle w:val="100000000000" w:firstRow="1" w:lastRow="0" w:firstColumn="0" w:lastColumn="0" w:oddVBand="0" w:evenVBand="0" w:oddHBand="0"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1794" w:type="dxa"/>
                </w:tcPr>
                <w:p w:rsidR="00A40EE0" w:rsidRPr="00A40EE0" w:rsidRDefault="00A40EE0" w:rsidP="00A40EE0">
                  <w:pPr>
                    <w:widowControl/>
                    <w:spacing w:after="0" w:line="240" w:lineRule="auto"/>
                    <w:rPr>
                      <w:rFonts w:ascii="Arial" w:hAnsi="Arial" w:cs="Arial"/>
                      <w:sz w:val="22"/>
                      <w:szCs w:val="22"/>
                    </w:rPr>
                  </w:pPr>
                </w:p>
              </w:tc>
              <w:tc>
                <w:tcPr>
                  <w:tcW w:w="1311" w:type="dxa"/>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Non-Hispanic White</w:t>
                  </w:r>
                </w:p>
              </w:tc>
              <w:tc>
                <w:tcPr>
                  <w:tcW w:w="1311" w:type="dxa"/>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Black</w:t>
                  </w:r>
                </w:p>
              </w:tc>
              <w:tc>
                <w:tcPr>
                  <w:tcW w:w="1311" w:type="dxa"/>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Asian</w:t>
                  </w:r>
                </w:p>
              </w:tc>
              <w:tc>
                <w:tcPr>
                  <w:tcW w:w="1312" w:type="dxa"/>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Native American / Alaskan Native</w:t>
                  </w:r>
                </w:p>
              </w:tc>
              <w:tc>
                <w:tcPr>
                  <w:tcW w:w="1311" w:type="dxa"/>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Native Hawaiian / Pacific Islander</w:t>
                  </w:r>
                </w:p>
              </w:tc>
              <w:tc>
                <w:tcPr>
                  <w:tcW w:w="1271" w:type="dxa"/>
                  <w:vAlign w:val="center"/>
                </w:tcPr>
                <w:p w:rsidR="00A40EE0" w:rsidRPr="00A40EE0" w:rsidRDefault="00A40EE0" w:rsidP="00A40EE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Hispanic or Latino</w:t>
                  </w:r>
                </w:p>
              </w:tc>
            </w:tr>
            <w:tr w:rsidR="00A40EE0" w:rsidRPr="00A40EE0" w:rsidTr="00221A75">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794" w:type="dxa"/>
                </w:tcPr>
                <w:p w:rsidR="00A40EE0" w:rsidRPr="00A40EE0" w:rsidRDefault="00A40EE0" w:rsidP="00A40EE0">
                  <w:pPr>
                    <w:widowControl/>
                    <w:spacing w:after="0" w:line="240" w:lineRule="auto"/>
                    <w:rPr>
                      <w:rFonts w:ascii="Arial" w:hAnsi="Arial" w:cs="Arial"/>
                      <w:sz w:val="22"/>
                      <w:szCs w:val="22"/>
                    </w:rPr>
                  </w:pPr>
                  <w:r w:rsidRPr="00A40EE0">
                    <w:rPr>
                      <w:rFonts w:ascii="Arial" w:hAnsi="Arial" w:cs="Arial"/>
                      <w:sz w:val="22"/>
                      <w:szCs w:val="22"/>
                    </w:rPr>
                    <w:t xml:space="preserve">KFH-Fontana </w:t>
                  </w:r>
                  <w:r w:rsidRPr="00A40EE0">
                    <w:rPr>
                      <w:rFonts w:ascii="Arial" w:eastAsia="Calibri" w:hAnsi="Arial" w:cs="Arial"/>
                      <w:sz w:val="22"/>
                      <w:szCs w:val="22"/>
                    </w:rPr>
                    <w:t>MCSA</w:t>
                  </w:r>
                </w:p>
              </w:tc>
              <w:tc>
                <w:tcPr>
                  <w:tcW w:w="1311"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28.5%</w:t>
                  </w:r>
                </w:p>
              </w:tc>
              <w:tc>
                <w:tcPr>
                  <w:tcW w:w="1311"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color w:val="FF0000"/>
                      <w:sz w:val="22"/>
                      <w:szCs w:val="22"/>
                    </w:rPr>
                    <w:t>50.4%</w:t>
                  </w:r>
                </w:p>
              </w:tc>
              <w:tc>
                <w:tcPr>
                  <w:tcW w:w="1311"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22.9%</w:t>
                  </w:r>
                </w:p>
              </w:tc>
              <w:tc>
                <w:tcPr>
                  <w:tcW w:w="1312"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A40EE0">
                    <w:rPr>
                      <w:rFonts w:ascii="Arial" w:hAnsi="Arial" w:cs="Arial"/>
                      <w:color w:val="FF0000"/>
                      <w:sz w:val="22"/>
                      <w:szCs w:val="22"/>
                    </w:rPr>
                    <w:t>57.2%</w:t>
                  </w:r>
                </w:p>
              </w:tc>
              <w:tc>
                <w:tcPr>
                  <w:tcW w:w="1311"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A40EE0">
                    <w:rPr>
                      <w:rFonts w:ascii="Arial" w:hAnsi="Arial" w:cs="Arial"/>
                      <w:color w:val="FF0000"/>
                      <w:sz w:val="22"/>
                      <w:szCs w:val="22"/>
                    </w:rPr>
                    <w:t>50.0%</w:t>
                  </w:r>
                </w:p>
              </w:tc>
              <w:tc>
                <w:tcPr>
                  <w:tcW w:w="1271"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46.3%</w:t>
                  </w:r>
                </w:p>
              </w:tc>
            </w:tr>
            <w:tr w:rsidR="00A40EE0" w:rsidRPr="00A40EE0" w:rsidTr="00221A75">
              <w:trPr>
                <w:trHeight w:val="508"/>
              </w:trPr>
              <w:tc>
                <w:tcPr>
                  <w:cnfStyle w:val="001000000000" w:firstRow="0" w:lastRow="0" w:firstColumn="1" w:lastColumn="0" w:oddVBand="0" w:evenVBand="0" w:oddHBand="0" w:evenHBand="0" w:firstRowFirstColumn="0" w:firstRowLastColumn="0" w:lastRowFirstColumn="0" w:lastRowLastColumn="0"/>
                  <w:tcW w:w="1794" w:type="dxa"/>
                </w:tcPr>
                <w:p w:rsidR="00A40EE0" w:rsidRPr="00A40EE0" w:rsidRDefault="00A40EE0" w:rsidP="00A40EE0">
                  <w:pPr>
                    <w:widowControl/>
                    <w:spacing w:after="0" w:line="240" w:lineRule="auto"/>
                    <w:rPr>
                      <w:rFonts w:ascii="Arial" w:hAnsi="Arial" w:cs="Arial"/>
                      <w:sz w:val="22"/>
                      <w:szCs w:val="22"/>
                    </w:rPr>
                  </w:pPr>
                  <w:r w:rsidRPr="00A40EE0">
                    <w:rPr>
                      <w:rFonts w:ascii="Arial" w:hAnsi="Arial" w:cs="Arial"/>
                      <w:sz w:val="22"/>
                      <w:szCs w:val="22"/>
                    </w:rPr>
                    <w:t xml:space="preserve">KFH-Ontario </w:t>
                  </w:r>
                  <w:r w:rsidRPr="00A40EE0">
                    <w:rPr>
                      <w:rFonts w:ascii="Arial" w:eastAsia="Calibri" w:hAnsi="Arial" w:cs="Arial"/>
                      <w:sz w:val="22"/>
                      <w:szCs w:val="22"/>
                    </w:rPr>
                    <w:t>MCSA</w:t>
                  </w:r>
                </w:p>
              </w:tc>
              <w:tc>
                <w:tcPr>
                  <w:tcW w:w="1311"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17.9%</w:t>
                  </w:r>
                </w:p>
              </w:tc>
              <w:tc>
                <w:tcPr>
                  <w:tcW w:w="1311"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color w:val="FF0000"/>
                      <w:sz w:val="22"/>
                      <w:szCs w:val="22"/>
                    </w:rPr>
                    <w:t>36.0%</w:t>
                  </w:r>
                </w:p>
              </w:tc>
              <w:tc>
                <w:tcPr>
                  <w:tcW w:w="1311"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10.7%</w:t>
                  </w:r>
                </w:p>
              </w:tc>
              <w:tc>
                <w:tcPr>
                  <w:tcW w:w="1312"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18.2%</w:t>
                  </w:r>
                </w:p>
              </w:tc>
              <w:tc>
                <w:tcPr>
                  <w:tcW w:w="1311"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25.0%</w:t>
                  </w:r>
                </w:p>
              </w:tc>
              <w:tc>
                <w:tcPr>
                  <w:tcW w:w="1271"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color w:val="FF0000"/>
                      <w:sz w:val="22"/>
                      <w:szCs w:val="22"/>
                    </w:rPr>
                    <w:t>40.6%</w:t>
                  </w:r>
                </w:p>
              </w:tc>
            </w:tr>
            <w:tr w:rsidR="00A40EE0" w:rsidRPr="00A40EE0" w:rsidTr="00221A7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94" w:type="dxa"/>
                </w:tcPr>
                <w:p w:rsidR="00A40EE0" w:rsidRPr="00A40EE0" w:rsidRDefault="00A40EE0" w:rsidP="00A40EE0">
                  <w:pPr>
                    <w:widowControl/>
                    <w:spacing w:after="0" w:line="240" w:lineRule="auto"/>
                    <w:rPr>
                      <w:rFonts w:ascii="Arial" w:hAnsi="Arial" w:cs="Arial"/>
                      <w:sz w:val="22"/>
                      <w:szCs w:val="22"/>
                    </w:rPr>
                  </w:pPr>
                  <w:r w:rsidRPr="00A40EE0">
                    <w:rPr>
                      <w:rFonts w:ascii="Arial" w:hAnsi="Arial" w:cs="Arial"/>
                      <w:sz w:val="22"/>
                      <w:szCs w:val="22"/>
                    </w:rPr>
                    <w:t>S CA MCA</w:t>
                  </w:r>
                </w:p>
              </w:tc>
              <w:tc>
                <w:tcPr>
                  <w:tcW w:w="1311"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17.5%</w:t>
                  </w:r>
                </w:p>
              </w:tc>
              <w:tc>
                <w:tcPr>
                  <w:tcW w:w="1311"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45.1%</w:t>
                  </w:r>
                </w:p>
              </w:tc>
              <w:tc>
                <w:tcPr>
                  <w:tcW w:w="1311"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12.8%</w:t>
                  </w:r>
                </w:p>
              </w:tc>
              <w:tc>
                <w:tcPr>
                  <w:tcW w:w="1312"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40.9%</w:t>
                  </w:r>
                </w:p>
              </w:tc>
              <w:tc>
                <w:tcPr>
                  <w:tcW w:w="1311"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37.7%</w:t>
                  </w:r>
                </w:p>
              </w:tc>
              <w:tc>
                <w:tcPr>
                  <w:tcW w:w="1271" w:type="dxa"/>
                  <w:vAlign w:val="center"/>
                </w:tcPr>
                <w:p w:rsidR="00A40EE0" w:rsidRPr="00A40EE0" w:rsidRDefault="00A40EE0" w:rsidP="00A40EE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0EE0">
                    <w:rPr>
                      <w:rFonts w:ascii="Arial" w:hAnsi="Arial" w:cs="Arial"/>
                      <w:sz w:val="22"/>
                      <w:szCs w:val="22"/>
                    </w:rPr>
                    <w:t>44.2%</w:t>
                  </w:r>
                </w:p>
              </w:tc>
            </w:tr>
            <w:tr w:rsidR="00A40EE0" w:rsidRPr="00A40EE0" w:rsidTr="00221A75">
              <w:trPr>
                <w:trHeight w:val="430"/>
              </w:trPr>
              <w:tc>
                <w:tcPr>
                  <w:cnfStyle w:val="001000000000" w:firstRow="0" w:lastRow="0" w:firstColumn="1" w:lastColumn="0" w:oddVBand="0" w:evenVBand="0" w:oddHBand="0" w:evenHBand="0" w:firstRowFirstColumn="0" w:firstRowLastColumn="0" w:lastRowFirstColumn="0" w:lastRowLastColumn="0"/>
                  <w:tcW w:w="1794" w:type="dxa"/>
                </w:tcPr>
                <w:p w:rsidR="00A40EE0" w:rsidRPr="00A40EE0" w:rsidRDefault="00A40EE0" w:rsidP="00A40EE0">
                  <w:pPr>
                    <w:widowControl/>
                    <w:spacing w:after="0" w:line="240" w:lineRule="auto"/>
                    <w:rPr>
                      <w:rFonts w:ascii="Arial" w:hAnsi="Arial" w:cs="Arial"/>
                      <w:sz w:val="22"/>
                      <w:szCs w:val="22"/>
                    </w:rPr>
                  </w:pPr>
                  <w:r w:rsidRPr="00A40EE0">
                    <w:rPr>
                      <w:rFonts w:ascii="Arial" w:hAnsi="Arial" w:cs="Arial"/>
                      <w:sz w:val="22"/>
                      <w:szCs w:val="22"/>
                    </w:rPr>
                    <w:t>California</w:t>
                  </w:r>
                </w:p>
              </w:tc>
              <w:tc>
                <w:tcPr>
                  <w:tcW w:w="1311"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21.0%</w:t>
                  </w:r>
                </w:p>
              </w:tc>
              <w:tc>
                <w:tcPr>
                  <w:tcW w:w="1311"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47.0%</w:t>
                  </w:r>
                </w:p>
              </w:tc>
              <w:tc>
                <w:tcPr>
                  <w:tcW w:w="1311"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16.0%</w:t>
                  </w:r>
                </w:p>
              </w:tc>
              <w:tc>
                <w:tcPr>
                  <w:tcW w:w="1312"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45.0%</w:t>
                  </w:r>
                </w:p>
              </w:tc>
              <w:tc>
                <w:tcPr>
                  <w:tcW w:w="1311"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38.0%</w:t>
                  </w:r>
                </w:p>
              </w:tc>
              <w:tc>
                <w:tcPr>
                  <w:tcW w:w="1271" w:type="dxa"/>
                  <w:vAlign w:val="center"/>
                </w:tcPr>
                <w:p w:rsidR="00A40EE0" w:rsidRPr="00A40EE0" w:rsidRDefault="00A40EE0" w:rsidP="00A40EE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0EE0">
                    <w:rPr>
                      <w:rFonts w:ascii="Arial" w:hAnsi="Arial" w:cs="Arial"/>
                      <w:sz w:val="22"/>
                      <w:szCs w:val="22"/>
                    </w:rPr>
                    <w:t>46.0%</w:t>
                  </w:r>
                </w:p>
              </w:tc>
            </w:tr>
          </w:tbl>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i/>
                <w:iCs/>
                <w:color w:val="737373"/>
                <w:sz w:val="18"/>
                <w:szCs w:val="18"/>
              </w:rPr>
              <w:t>Source: California, Department of Education, 2012-13.</w:t>
            </w:r>
          </w:p>
          <w:p w:rsidR="00A40EE0" w:rsidRPr="00A40EE0" w:rsidRDefault="00A40EE0" w:rsidP="00A40EE0">
            <w:pPr>
              <w:spacing w:after="0" w:line="240" w:lineRule="auto"/>
              <w:rPr>
                <w:rFonts w:ascii="Arial" w:eastAsia="Arial" w:hAnsi="Arial" w:cs="Arial"/>
                <w:color w:val="000000"/>
                <w:sz w:val="22"/>
                <w:szCs w:val="22"/>
              </w:rPr>
            </w:pPr>
          </w:p>
        </w:tc>
      </w:tr>
      <w:tr w:rsidR="00A40EE0" w:rsidRPr="00A40EE0" w:rsidTr="00C542D4">
        <w:trPr>
          <w:trHeight w:val="1128"/>
        </w:trPr>
        <w:tc>
          <w:tcPr>
            <w:tcW w:w="5000" w:type="pct"/>
            <w:gridSpan w:val="5"/>
            <w:tcBorders>
              <w:top w:val="nil"/>
              <w:left w:val="nil"/>
              <w:bottom w:val="nil"/>
              <w:right w:val="nil"/>
            </w:tcBorders>
            <w:shd w:val="clear" w:color="auto" w:fill="D9D9D9" w:themeFill="background1" w:themeFillShade="D9"/>
            <w:tcMar>
              <w:top w:w="100" w:type="dxa"/>
              <w:left w:w="100" w:type="dxa"/>
              <w:bottom w:w="100" w:type="dxa"/>
              <w:right w:w="100" w:type="dxa"/>
            </w:tcMar>
          </w:tcPr>
          <w:p w:rsidR="00A40EE0" w:rsidRPr="00A40EE0" w:rsidRDefault="00A40EE0" w:rsidP="00A40EE0">
            <w:pPr>
              <w:spacing w:after="0" w:line="240" w:lineRule="auto"/>
              <w:rPr>
                <w:rFonts w:ascii="Arial" w:eastAsia="Arial" w:hAnsi="Arial" w:cs="Arial"/>
                <w:b/>
                <w:color w:val="000000"/>
                <w:sz w:val="22"/>
                <w:szCs w:val="22"/>
              </w:rPr>
            </w:pPr>
            <w:r w:rsidRPr="00A40EE0">
              <w:rPr>
                <w:rFonts w:ascii="Arial" w:eastAsia="Arial" w:hAnsi="Arial" w:cs="Arial"/>
                <w:b/>
                <w:color w:val="000000"/>
                <w:sz w:val="22"/>
                <w:szCs w:val="22"/>
              </w:rPr>
              <w:t>Community Description of Disparities</w:t>
            </w:r>
          </w:p>
          <w:p w:rsidR="00A40EE0" w:rsidRPr="00A40EE0" w:rsidRDefault="00A40EE0" w:rsidP="00A40EE0">
            <w:pPr>
              <w:spacing w:after="0" w:line="240" w:lineRule="auto"/>
              <w:rPr>
                <w:rFonts w:ascii="Arial" w:eastAsia="Arial" w:hAnsi="Arial" w:cs="Arial"/>
                <w:b/>
                <w:color w:val="000000"/>
                <w:sz w:val="22"/>
                <w:szCs w:val="22"/>
              </w:rPr>
            </w:pPr>
          </w:p>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color w:val="000000"/>
                <w:sz w:val="22"/>
                <w:szCs w:val="22"/>
              </w:rPr>
              <w:t xml:space="preserve">Economic instability affects those adult with </w:t>
            </w:r>
            <w:r w:rsidRPr="00A40EE0">
              <w:rPr>
                <w:rFonts w:ascii="Arial" w:eastAsia="Arial" w:hAnsi="Arial" w:cs="Arial"/>
                <w:b/>
                <w:color w:val="000000"/>
                <w:sz w:val="22"/>
                <w:szCs w:val="22"/>
              </w:rPr>
              <w:t>low educational attainment</w:t>
            </w:r>
            <w:r w:rsidRPr="00A40EE0">
              <w:rPr>
                <w:rFonts w:ascii="Arial" w:eastAsia="Arial" w:hAnsi="Arial" w:cs="Arial"/>
                <w:color w:val="000000"/>
                <w:sz w:val="22"/>
                <w:szCs w:val="22"/>
              </w:rPr>
              <w:t xml:space="preserve"> the most since those adults struggle to access jobs that pay a living wage. </w:t>
            </w:r>
            <w:r w:rsidRPr="00A40EE0">
              <w:rPr>
                <w:rFonts w:ascii="Arial" w:eastAsia="Arial" w:hAnsi="Arial" w:cs="Arial"/>
                <w:b/>
                <w:color w:val="000000"/>
                <w:sz w:val="22"/>
                <w:szCs w:val="22"/>
              </w:rPr>
              <w:t>Immigrants, non-English speakers, homeless, foster youth, single income families, Latinos, and African Americans</w:t>
            </w:r>
            <w:r w:rsidRPr="00A40EE0">
              <w:rPr>
                <w:rFonts w:ascii="Arial" w:eastAsia="Arial" w:hAnsi="Arial" w:cs="Arial"/>
                <w:color w:val="000000"/>
                <w:sz w:val="22"/>
                <w:szCs w:val="22"/>
              </w:rPr>
              <w:t xml:space="preserve"> are seen as disproportionately impacted by poverty in these service areas due to low educational attainment and were greatly impacted by job losses in construction and manufacturing that occurred during the recession. The </w:t>
            </w:r>
            <w:r w:rsidRPr="00A40EE0">
              <w:rPr>
                <w:rFonts w:ascii="Arial" w:eastAsia="Arial" w:hAnsi="Arial" w:cs="Arial"/>
                <w:b/>
                <w:color w:val="000000"/>
                <w:sz w:val="22"/>
                <w:szCs w:val="22"/>
              </w:rPr>
              <w:t>homeless, veterans and people diagnosed with mental illness</w:t>
            </w:r>
            <w:r w:rsidRPr="00A40EE0">
              <w:rPr>
                <w:rFonts w:ascii="Arial" w:eastAsia="Arial" w:hAnsi="Arial" w:cs="Arial"/>
                <w:color w:val="000000"/>
                <w:sz w:val="22"/>
                <w:szCs w:val="22"/>
              </w:rPr>
              <w:t xml:space="preserve"> are highly more likely to live in poverty than other groups of people. </w:t>
            </w:r>
          </w:p>
          <w:p w:rsidR="00A40EE0" w:rsidRPr="00A40EE0" w:rsidRDefault="00A40EE0" w:rsidP="00A40EE0">
            <w:pPr>
              <w:spacing w:after="0" w:line="240" w:lineRule="auto"/>
              <w:rPr>
                <w:rFonts w:ascii="Arial" w:eastAsia="Arial" w:hAnsi="Arial" w:cs="Arial"/>
                <w:color w:val="000000"/>
                <w:sz w:val="22"/>
                <w:szCs w:val="22"/>
              </w:rPr>
            </w:pPr>
          </w:p>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color w:val="000000"/>
                <w:sz w:val="22"/>
                <w:szCs w:val="22"/>
              </w:rPr>
              <w:t>While low income households can be found across both the KFH-Fontana/Ontario Medical Center Service Areas, the highest concentrations of poverty can be found in</w:t>
            </w:r>
            <w:r w:rsidRPr="00A40EE0">
              <w:rPr>
                <w:rFonts w:ascii="Arial" w:eastAsia="Arial" w:hAnsi="Arial" w:cs="Arial"/>
                <w:b/>
                <w:color w:val="000000"/>
                <w:sz w:val="22"/>
                <w:szCs w:val="22"/>
              </w:rPr>
              <w:t xml:space="preserve"> High Desert, the Rim communities, Adelanto, and central San Bernardino, </w:t>
            </w:r>
            <w:r w:rsidRPr="00A40EE0">
              <w:rPr>
                <w:rFonts w:ascii="Arial" w:eastAsia="Arial" w:hAnsi="Arial" w:cs="Arial"/>
                <w:color w:val="000000"/>
                <w:sz w:val="22"/>
                <w:szCs w:val="22"/>
              </w:rPr>
              <w:t>due to low educational attainment and lack of jobs. Distance from major urban centers prohibits commuting to find better jobs or results in long (as much as three hours each way) commutes that impact quality of life.</w:t>
            </w:r>
          </w:p>
        </w:tc>
      </w:tr>
      <w:tr w:rsidR="00A40EE0" w:rsidRPr="00A40EE0" w:rsidTr="00C542D4">
        <w:trPr>
          <w:trHeight w:val="420"/>
        </w:trPr>
        <w:tc>
          <w:tcPr>
            <w:tcW w:w="5000" w:type="pct"/>
            <w:gridSpan w:val="5"/>
            <w:tcBorders>
              <w:top w:val="nil"/>
              <w:left w:val="nil"/>
              <w:bottom w:val="nil"/>
              <w:right w:val="nil"/>
            </w:tcBorders>
            <w:shd w:val="clear" w:color="auto" w:fill="006D9D"/>
            <w:tcMar>
              <w:top w:w="57" w:type="dxa"/>
              <w:left w:w="57" w:type="dxa"/>
              <w:bottom w:w="57" w:type="dxa"/>
              <w:right w:w="57" w:type="dxa"/>
            </w:tcMar>
          </w:tcPr>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color w:val="000000"/>
                <w:sz w:val="22"/>
                <w:szCs w:val="22"/>
              </w:rPr>
              <w:br w:type="page"/>
            </w:r>
            <w:r w:rsidRPr="00A40EE0">
              <w:rPr>
                <w:rFonts w:ascii="Arial" w:eastAsia="Arial" w:hAnsi="Arial" w:cs="Arial"/>
                <w:b/>
                <w:color w:val="FFFFFF"/>
                <w:sz w:val="32"/>
                <w:szCs w:val="32"/>
              </w:rPr>
              <w:t>Assets and Opportunities</w:t>
            </w:r>
          </w:p>
        </w:tc>
      </w:tr>
      <w:tr w:rsidR="00A40EE0" w:rsidRPr="00A40EE0" w:rsidTr="00C542D4">
        <w:trPr>
          <w:trHeight w:val="1176"/>
        </w:trPr>
        <w:tc>
          <w:tcPr>
            <w:tcW w:w="5000" w:type="pct"/>
            <w:gridSpan w:val="5"/>
            <w:tcBorders>
              <w:top w:val="nil"/>
              <w:left w:val="nil"/>
              <w:bottom w:val="nil"/>
              <w:right w:val="nil"/>
            </w:tcBorders>
            <w:shd w:val="clear" w:color="auto" w:fill="D9D9D9" w:themeFill="background1" w:themeFillShade="D9"/>
          </w:tcPr>
          <w:p w:rsidR="00A40EE0" w:rsidRPr="00A40EE0" w:rsidRDefault="00A40EE0" w:rsidP="00A40EE0">
            <w:pPr>
              <w:spacing w:after="0" w:line="240" w:lineRule="auto"/>
              <w:rPr>
                <w:rFonts w:ascii="Arial" w:eastAsia="Arial" w:hAnsi="Arial" w:cs="Arial"/>
                <w:b/>
                <w:color w:val="000000"/>
                <w:sz w:val="22"/>
                <w:szCs w:val="22"/>
              </w:rPr>
            </w:pPr>
            <w:r w:rsidRPr="00A40EE0">
              <w:rPr>
                <w:rFonts w:ascii="Arial" w:eastAsia="Arial" w:hAnsi="Arial" w:cs="Arial"/>
                <w:noProof/>
                <w:color w:val="000000"/>
                <w:sz w:val="22"/>
                <w:szCs w:val="22"/>
              </w:rPr>
              <w:drawing>
                <wp:anchor distT="0" distB="0" distL="114300" distR="114300" simplePos="0" relativeHeight="251666432" behindDoc="0" locked="0" layoutInCell="1" allowOverlap="1" wp14:anchorId="48463903" wp14:editId="4905F724">
                  <wp:simplePos x="0" y="0"/>
                  <wp:positionH relativeFrom="column">
                    <wp:posOffset>55245</wp:posOffset>
                  </wp:positionH>
                  <wp:positionV relativeFrom="paragraph">
                    <wp:posOffset>42545</wp:posOffset>
                  </wp:positionV>
                  <wp:extent cx="541655" cy="54165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pic:spPr>
                      </pic:pic>
                    </a:graphicData>
                  </a:graphic>
                  <wp14:sizeRelH relativeFrom="page">
                    <wp14:pctWidth>0</wp14:pctWidth>
                  </wp14:sizeRelH>
                  <wp14:sizeRelV relativeFrom="page">
                    <wp14:pctHeight>0</wp14:pctHeight>
                  </wp14:sizeRelV>
                </wp:anchor>
              </w:drawing>
            </w:r>
            <w:r w:rsidRPr="00A40EE0">
              <w:rPr>
                <w:rFonts w:ascii="Arial" w:eastAsia="Arial" w:hAnsi="Arial" w:cs="Arial"/>
                <w:b/>
                <w:color w:val="000000"/>
                <w:sz w:val="22"/>
                <w:szCs w:val="22"/>
              </w:rPr>
              <w:t>Community Description of the Health Need</w:t>
            </w:r>
          </w:p>
          <w:p w:rsidR="00A40EE0" w:rsidRPr="00A40EE0" w:rsidRDefault="00A40EE0" w:rsidP="00A40EE0">
            <w:pPr>
              <w:spacing w:after="0" w:line="240" w:lineRule="auto"/>
              <w:rPr>
                <w:rFonts w:ascii="Arial" w:eastAsia="Arial" w:hAnsi="Arial" w:cs="Arial"/>
                <w:b/>
                <w:color w:val="000000"/>
                <w:sz w:val="22"/>
                <w:szCs w:val="22"/>
              </w:rPr>
            </w:pPr>
          </w:p>
          <w:p w:rsidR="00A40EE0" w:rsidRPr="00A40EE0" w:rsidRDefault="00A40EE0" w:rsidP="00A40EE0">
            <w:pPr>
              <w:widowControl/>
              <w:spacing w:after="0" w:line="240" w:lineRule="auto"/>
              <w:ind w:left="720"/>
              <w:contextualSpacing/>
              <w:rPr>
                <w:rFonts w:ascii="Arial" w:eastAsia="Times New Roman" w:hAnsi="Arial" w:cs="Arial"/>
                <w:sz w:val="22"/>
                <w:szCs w:val="22"/>
              </w:rPr>
            </w:pPr>
            <w:r w:rsidRPr="00A40EE0">
              <w:rPr>
                <w:rFonts w:ascii="Arial" w:eastAsia="Times New Roman" w:hAnsi="Arial" w:cs="Arial"/>
                <w:sz w:val="22"/>
                <w:szCs w:val="22"/>
              </w:rPr>
              <w:t>To community leaders, the connection between economic factors and health outcomes is clear. In the long run, health needs cannot be adequately addressed without also addressing the need for access to well-paying jobs. Educational attainment and high quality job training will increase access to economic resources which will ultimately positively impact health.</w:t>
            </w:r>
          </w:p>
          <w:p w:rsidR="00A40EE0" w:rsidRPr="00A40EE0" w:rsidRDefault="00A40EE0" w:rsidP="00A40EE0">
            <w:pPr>
              <w:widowControl/>
              <w:spacing w:after="200" w:line="240" w:lineRule="auto"/>
              <w:rPr>
                <w:rFonts w:ascii="Arial" w:eastAsia="Calibri" w:hAnsi="Arial" w:cs="Arial"/>
                <w:sz w:val="22"/>
                <w:szCs w:val="22"/>
              </w:rPr>
            </w:pPr>
          </w:p>
          <w:p w:rsidR="00A40EE0" w:rsidRPr="00A40EE0" w:rsidRDefault="00A40EE0" w:rsidP="00A40EE0">
            <w:pPr>
              <w:widowControl/>
              <w:numPr>
                <w:ilvl w:val="0"/>
                <w:numId w:val="39"/>
              </w:numPr>
              <w:spacing w:after="0" w:line="240" w:lineRule="auto"/>
              <w:contextualSpacing/>
              <w:rPr>
                <w:rFonts w:ascii="Arial" w:eastAsia="Times New Roman" w:hAnsi="Arial" w:cs="Arial"/>
                <w:sz w:val="22"/>
                <w:szCs w:val="22"/>
              </w:rPr>
            </w:pPr>
            <w:r w:rsidRPr="00A40EE0">
              <w:rPr>
                <w:rFonts w:ascii="Arial" w:eastAsia="Times New Roman" w:hAnsi="Arial" w:cs="Arial"/>
                <w:sz w:val="22"/>
                <w:szCs w:val="22"/>
              </w:rPr>
              <w:t>“Our perspective is that job creation is the key to the financial success and stability of this region. We all put that educational attainment level in front of us because it keeps us from being able to participate in the innovation economy—because we don’t have people with bachelor’s degrees, let alone the graduate degrees that companies in Silicon Valley are looking for. We are at a disadvantage to begin with.”</w:t>
            </w:r>
          </w:p>
          <w:p w:rsidR="00A40EE0" w:rsidRPr="00A40EE0" w:rsidRDefault="00A40EE0" w:rsidP="00A40EE0">
            <w:pPr>
              <w:widowControl/>
              <w:numPr>
                <w:ilvl w:val="0"/>
                <w:numId w:val="39"/>
              </w:numPr>
              <w:spacing w:after="0" w:line="240" w:lineRule="auto"/>
              <w:contextualSpacing/>
              <w:rPr>
                <w:rFonts w:ascii="Arial" w:eastAsia="Times New Roman" w:hAnsi="Arial" w:cs="Arial"/>
                <w:sz w:val="22"/>
                <w:szCs w:val="22"/>
              </w:rPr>
            </w:pPr>
            <w:r w:rsidRPr="00A40EE0">
              <w:rPr>
                <w:rFonts w:ascii="Arial" w:eastAsia="Times New Roman" w:hAnsi="Arial" w:cs="Arial"/>
                <w:sz w:val="22"/>
                <w:szCs w:val="22"/>
              </w:rPr>
              <w:t>“What is the biggest need is access to [better paying] jobs. We’ve be relegated to the logistics and warehouse, middle collar [jobs]. We need to shift that.”</w:t>
            </w:r>
          </w:p>
          <w:p w:rsidR="00A40EE0" w:rsidRPr="00A40EE0" w:rsidRDefault="00A40EE0" w:rsidP="00A40EE0">
            <w:pPr>
              <w:widowControl/>
              <w:spacing w:after="0" w:line="240" w:lineRule="auto"/>
              <w:ind w:left="720"/>
              <w:contextualSpacing/>
              <w:rPr>
                <w:rFonts w:ascii="Arial" w:eastAsia="Times New Roman" w:hAnsi="Arial" w:cs="Arial"/>
                <w:sz w:val="22"/>
                <w:szCs w:val="22"/>
              </w:rPr>
            </w:pPr>
          </w:p>
        </w:tc>
      </w:tr>
      <w:tr w:rsidR="00A40EE0" w:rsidRPr="00A40EE0" w:rsidTr="00C542D4">
        <w:trPr>
          <w:trHeight w:val="336"/>
        </w:trPr>
        <w:tc>
          <w:tcPr>
            <w:tcW w:w="5000" w:type="pct"/>
            <w:gridSpan w:val="5"/>
            <w:tcBorders>
              <w:top w:val="nil"/>
              <w:left w:val="nil"/>
              <w:bottom w:val="nil"/>
              <w:right w:val="nil"/>
            </w:tcBorders>
            <w:shd w:val="clear" w:color="auto" w:fill="D9D9D9" w:themeFill="background1" w:themeFillShade="D9"/>
          </w:tcPr>
          <w:p w:rsidR="004652D6" w:rsidRDefault="004652D6" w:rsidP="00A40EE0">
            <w:pPr>
              <w:spacing w:after="0" w:line="240" w:lineRule="auto"/>
              <w:rPr>
                <w:rFonts w:ascii="Arial" w:eastAsia="Arial" w:hAnsi="Arial" w:cs="Arial"/>
                <w:b/>
                <w:color w:val="000000"/>
                <w:sz w:val="22"/>
                <w:szCs w:val="22"/>
              </w:rPr>
            </w:pPr>
          </w:p>
          <w:p w:rsidR="00A40EE0" w:rsidRPr="00A40EE0" w:rsidRDefault="00A40EE0" w:rsidP="00A40EE0">
            <w:pPr>
              <w:spacing w:after="0" w:line="240" w:lineRule="auto"/>
              <w:rPr>
                <w:rFonts w:ascii="Arial" w:eastAsia="Arial" w:hAnsi="Arial" w:cs="Arial"/>
                <w:b/>
                <w:color w:val="000000"/>
                <w:sz w:val="22"/>
                <w:szCs w:val="22"/>
              </w:rPr>
            </w:pPr>
            <w:r w:rsidRPr="00A40EE0">
              <w:rPr>
                <w:rFonts w:ascii="Arial" w:eastAsia="Arial" w:hAnsi="Arial" w:cs="Arial"/>
                <w:b/>
                <w:color w:val="000000"/>
                <w:sz w:val="22"/>
                <w:szCs w:val="22"/>
              </w:rPr>
              <w:t>Resources</w:t>
            </w:r>
          </w:p>
          <w:p w:rsidR="00A40EE0" w:rsidRPr="00A40EE0" w:rsidRDefault="00A40EE0" w:rsidP="00A40EE0">
            <w:pPr>
              <w:spacing w:after="0" w:line="240" w:lineRule="auto"/>
              <w:rPr>
                <w:rFonts w:ascii="Arial" w:eastAsia="Arial" w:hAnsi="Arial" w:cs="Arial"/>
                <w:b/>
                <w:color w:val="000000"/>
                <w:sz w:val="22"/>
                <w:szCs w:val="22"/>
              </w:rPr>
            </w:pPr>
          </w:p>
          <w:p w:rsidR="00A40EE0" w:rsidRPr="00A40EE0" w:rsidRDefault="00A40EE0" w:rsidP="00A40EE0">
            <w:pPr>
              <w:spacing w:after="0" w:line="240" w:lineRule="auto"/>
              <w:rPr>
                <w:rFonts w:ascii="Arial" w:eastAsia="Arial" w:hAnsi="Arial" w:cs="Arial"/>
                <w:noProof/>
                <w:color w:val="000000"/>
                <w:sz w:val="22"/>
                <w:szCs w:val="22"/>
              </w:rPr>
            </w:pPr>
            <w:r w:rsidRPr="00A40EE0">
              <w:rPr>
                <w:rFonts w:ascii="Arial" w:eastAsia="Arial" w:hAnsi="Arial" w:cs="Arial"/>
                <w:color w:val="000000"/>
                <w:sz w:val="22"/>
                <w:szCs w:val="22"/>
              </w:rPr>
              <w:t>Community stakeholders identified the following organizations, programs and initiatives as important community resources for potentially addressing economic security:</w:t>
            </w:r>
          </w:p>
        </w:tc>
      </w:tr>
      <w:tr w:rsidR="00A40EE0" w:rsidRPr="00A40EE0" w:rsidTr="00C542D4">
        <w:trPr>
          <w:trHeight w:val="228"/>
        </w:trPr>
        <w:tc>
          <w:tcPr>
            <w:tcW w:w="2934" w:type="pct"/>
            <w:gridSpan w:val="4"/>
            <w:tcBorders>
              <w:top w:val="nil"/>
              <w:left w:val="nil"/>
              <w:bottom w:val="nil"/>
              <w:right w:val="nil"/>
            </w:tcBorders>
            <w:shd w:val="clear" w:color="auto" w:fill="D9D9D9" w:themeFill="background1" w:themeFillShade="D9"/>
          </w:tcPr>
          <w:p w:rsidR="00A40EE0" w:rsidRPr="00A40EE0" w:rsidRDefault="00A40EE0" w:rsidP="00A40EE0">
            <w:pPr>
              <w:widowControl/>
              <w:numPr>
                <w:ilvl w:val="0"/>
                <w:numId w:val="37"/>
              </w:numPr>
              <w:spacing w:after="0" w:line="240" w:lineRule="auto"/>
              <w:contextualSpacing/>
              <w:rPr>
                <w:rFonts w:ascii="Arial" w:eastAsia="Times New Roman" w:hAnsi="Arial" w:cs="Arial"/>
                <w:noProof/>
                <w:sz w:val="22"/>
                <w:szCs w:val="22"/>
              </w:rPr>
            </w:pPr>
            <w:r w:rsidRPr="00A40EE0">
              <w:rPr>
                <w:rFonts w:ascii="Arial" w:eastAsia="Times New Roman" w:hAnsi="Arial" w:cs="Arial"/>
                <w:noProof/>
                <w:sz w:val="22"/>
                <w:szCs w:val="22"/>
              </w:rPr>
              <w:t>Cal Fresh/SNAP</w:t>
            </w:r>
          </w:p>
          <w:p w:rsidR="00A40EE0" w:rsidRPr="00A40EE0" w:rsidRDefault="00A40EE0" w:rsidP="00A40EE0">
            <w:pPr>
              <w:widowControl/>
              <w:numPr>
                <w:ilvl w:val="0"/>
                <w:numId w:val="37"/>
              </w:numPr>
              <w:spacing w:after="0" w:line="240" w:lineRule="auto"/>
              <w:contextualSpacing/>
              <w:rPr>
                <w:rFonts w:ascii="Arial" w:eastAsia="Times New Roman" w:hAnsi="Arial" w:cs="Arial"/>
                <w:noProof/>
                <w:sz w:val="22"/>
                <w:szCs w:val="22"/>
              </w:rPr>
            </w:pPr>
            <w:r w:rsidRPr="00A40EE0">
              <w:rPr>
                <w:rFonts w:ascii="Arial" w:eastAsia="Times New Roman" w:hAnsi="Arial" w:cs="Arial"/>
                <w:noProof/>
                <w:sz w:val="22"/>
                <w:szCs w:val="22"/>
              </w:rPr>
              <w:t>California State University, San Bernardino</w:t>
            </w:r>
          </w:p>
          <w:p w:rsidR="00A40EE0" w:rsidRPr="00A40EE0" w:rsidRDefault="00A40EE0" w:rsidP="00A40EE0">
            <w:pPr>
              <w:widowControl/>
              <w:numPr>
                <w:ilvl w:val="0"/>
                <w:numId w:val="37"/>
              </w:numPr>
              <w:spacing w:after="0" w:line="240" w:lineRule="auto"/>
              <w:contextualSpacing/>
              <w:rPr>
                <w:rFonts w:ascii="Arial" w:eastAsia="Times New Roman" w:hAnsi="Arial" w:cs="Arial"/>
                <w:sz w:val="22"/>
                <w:szCs w:val="22"/>
              </w:rPr>
            </w:pPr>
            <w:r w:rsidRPr="00A40EE0">
              <w:rPr>
                <w:rFonts w:ascii="Arial" w:eastAsia="Times New Roman" w:hAnsi="Arial" w:cs="Arial"/>
                <w:sz w:val="22"/>
                <w:szCs w:val="22"/>
              </w:rPr>
              <w:t>County Superintendent of Schools, African American Task Force</w:t>
            </w:r>
          </w:p>
          <w:p w:rsidR="00A40EE0" w:rsidRPr="00A40EE0" w:rsidRDefault="00A40EE0" w:rsidP="00A40EE0">
            <w:pPr>
              <w:widowControl/>
              <w:numPr>
                <w:ilvl w:val="0"/>
                <w:numId w:val="37"/>
              </w:numPr>
              <w:spacing w:after="0" w:line="240" w:lineRule="auto"/>
              <w:contextualSpacing/>
              <w:rPr>
                <w:rFonts w:ascii="Arial" w:eastAsia="Times New Roman" w:hAnsi="Arial" w:cs="Arial"/>
                <w:noProof/>
                <w:sz w:val="22"/>
                <w:szCs w:val="22"/>
              </w:rPr>
            </w:pPr>
            <w:r w:rsidRPr="00A40EE0">
              <w:rPr>
                <w:rFonts w:ascii="Arial" w:eastAsia="Times New Roman" w:hAnsi="Arial" w:cs="Arial"/>
                <w:noProof/>
                <w:sz w:val="22"/>
                <w:szCs w:val="22"/>
              </w:rPr>
              <w:t>Department of Public Social Services</w:t>
            </w:r>
          </w:p>
          <w:p w:rsidR="00A40EE0" w:rsidRPr="00A40EE0" w:rsidRDefault="00A40EE0" w:rsidP="00A40EE0">
            <w:pPr>
              <w:widowControl/>
              <w:numPr>
                <w:ilvl w:val="0"/>
                <w:numId w:val="37"/>
              </w:numPr>
              <w:spacing w:after="0" w:line="240" w:lineRule="auto"/>
              <w:contextualSpacing/>
              <w:rPr>
                <w:rFonts w:ascii="Arial" w:eastAsia="Times New Roman" w:hAnsi="Arial" w:cs="Arial"/>
                <w:noProof/>
                <w:sz w:val="22"/>
                <w:szCs w:val="22"/>
              </w:rPr>
            </w:pPr>
            <w:r w:rsidRPr="00A40EE0">
              <w:rPr>
                <w:rFonts w:ascii="Arial" w:eastAsia="Times New Roman" w:hAnsi="Arial" w:cs="Arial"/>
                <w:noProof/>
                <w:sz w:val="22"/>
                <w:szCs w:val="22"/>
              </w:rPr>
              <w:t>Hope Through Housing Foundation</w:t>
            </w:r>
          </w:p>
          <w:p w:rsidR="00A40EE0" w:rsidRPr="00A40EE0" w:rsidRDefault="00A40EE0" w:rsidP="00A40EE0">
            <w:pPr>
              <w:widowControl/>
              <w:numPr>
                <w:ilvl w:val="0"/>
                <w:numId w:val="37"/>
              </w:numPr>
              <w:spacing w:after="0" w:line="240" w:lineRule="auto"/>
              <w:contextualSpacing/>
              <w:rPr>
                <w:rFonts w:ascii="Arial" w:eastAsia="Times New Roman" w:hAnsi="Arial" w:cs="Arial"/>
                <w:sz w:val="22"/>
                <w:szCs w:val="22"/>
              </w:rPr>
            </w:pPr>
            <w:r w:rsidRPr="00A40EE0">
              <w:rPr>
                <w:rFonts w:ascii="Arial" w:eastAsia="Times New Roman" w:hAnsi="Arial" w:cs="Arial"/>
                <w:sz w:val="22"/>
                <w:szCs w:val="22"/>
              </w:rPr>
              <w:t>Housing Authority</w:t>
            </w:r>
          </w:p>
          <w:p w:rsidR="00A40EE0" w:rsidRPr="00A40EE0" w:rsidRDefault="00A40EE0" w:rsidP="00A40EE0">
            <w:pPr>
              <w:widowControl/>
              <w:spacing w:after="0"/>
              <w:ind w:left="720"/>
              <w:contextualSpacing/>
              <w:rPr>
                <w:rFonts w:ascii="Arial" w:eastAsia="Times New Roman" w:hAnsi="Arial" w:cs="Arial"/>
                <w:sz w:val="22"/>
                <w:szCs w:val="22"/>
              </w:rPr>
            </w:pPr>
          </w:p>
        </w:tc>
        <w:tc>
          <w:tcPr>
            <w:tcW w:w="2066" w:type="pct"/>
            <w:tcBorders>
              <w:top w:val="nil"/>
              <w:left w:val="nil"/>
              <w:bottom w:val="nil"/>
              <w:right w:val="nil"/>
            </w:tcBorders>
            <w:shd w:val="clear" w:color="auto" w:fill="D9D9D9" w:themeFill="background1" w:themeFillShade="D9"/>
          </w:tcPr>
          <w:p w:rsidR="00A40EE0" w:rsidRPr="00A40EE0" w:rsidRDefault="00A40EE0" w:rsidP="00A40EE0">
            <w:pPr>
              <w:widowControl/>
              <w:numPr>
                <w:ilvl w:val="0"/>
                <w:numId w:val="37"/>
              </w:numPr>
              <w:spacing w:after="0" w:line="240" w:lineRule="auto"/>
              <w:contextualSpacing/>
              <w:rPr>
                <w:rFonts w:ascii="Arial" w:eastAsia="Times New Roman" w:hAnsi="Arial" w:cs="Arial"/>
                <w:noProof/>
                <w:sz w:val="22"/>
                <w:szCs w:val="22"/>
              </w:rPr>
            </w:pPr>
            <w:r w:rsidRPr="00A40EE0">
              <w:rPr>
                <w:rFonts w:ascii="Arial" w:eastAsia="Times New Roman" w:hAnsi="Arial" w:cs="Arial"/>
                <w:sz w:val="22"/>
                <w:szCs w:val="22"/>
              </w:rPr>
              <w:t>Jobs in the logistics and warehouse industry, including Amazon, Walmart</w:t>
            </w:r>
            <w:r w:rsidRPr="00A40EE0">
              <w:rPr>
                <w:rFonts w:ascii="Arial" w:eastAsia="Times New Roman" w:hAnsi="Arial" w:cs="Arial"/>
                <w:noProof/>
                <w:sz w:val="22"/>
                <w:szCs w:val="22"/>
              </w:rPr>
              <w:t xml:space="preserve"> </w:t>
            </w:r>
          </w:p>
          <w:p w:rsidR="00A40EE0" w:rsidRPr="00A40EE0" w:rsidRDefault="00A40EE0" w:rsidP="00A40EE0">
            <w:pPr>
              <w:widowControl/>
              <w:numPr>
                <w:ilvl w:val="0"/>
                <w:numId w:val="37"/>
              </w:numPr>
              <w:spacing w:after="0" w:line="240" w:lineRule="auto"/>
              <w:contextualSpacing/>
              <w:rPr>
                <w:rFonts w:ascii="Arial" w:eastAsia="Times New Roman" w:hAnsi="Arial" w:cs="Arial"/>
                <w:sz w:val="22"/>
                <w:szCs w:val="22"/>
              </w:rPr>
            </w:pPr>
            <w:r w:rsidRPr="00A40EE0">
              <w:rPr>
                <w:rFonts w:ascii="Arial" w:eastAsia="Times New Roman" w:hAnsi="Arial" w:cs="Arial"/>
                <w:noProof/>
                <w:sz w:val="22"/>
                <w:szCs w:val="22"/>
              </w:rPr>
              <w:t>Mercy House</w:t>
            </w:r>
          </w:p>
          <w:p w:rsidR="00A40EE0" w:rsidRPr="00A40EE0" w:rsidRDefault="00A40EE0" w:rsidP="00A40EE0">
            <w:pPr>
              <w:widowControl/>
              <w:numPr>
                <w:ilvl w:val="0"/>
                <w:numId w:val="37"/>
              </w:numPr>
              <w:spacing w:after="0" w:line="240" w:lineRule="auto"/>
              <w:contextualSpacing/>
              <w:rPr>
                <w:rFonts w:ascii="Arial" w:eastAsia="Times New Roman" w:hAnsi="Arial" w:cs="Arial"/>
                <w:noProof/>
                <w:sz w:val="22"/>
                <w:szCs w:val="22"/>
              </w:rPr>
            </w:pPr>
            <w:r w:rsidRPr="00A40EE0">
              <w:rPr>
                <w:rFonts w:ascii="Arial" w:eastAsia="Times New Roman" w:hAnsi="Arial" w:cs="Arial"/>
                <w:noProof/>
                <w:sz w:val="22"/>
                <w:szCs w:val="22"/>
              </w:rPr>
              <w:t>San Bernardino Valley College</w:t>
            </w:r>
          </w:p>
          <w:p w:rsidR="00A40EE0" w:rsidRPr="00A40EE0" w:rsidRDefault="00A40EE0" w:rsidP="00A40EE0">
            <w:pPr>
              <w:widowControl/>
              <w:numPr>
                <w:ilvl w:val="0"/>
                <w:numId w:val="37"/>
              </w:numPr>
              <w:spacing w:after="0" w:line="240" w:lineRule="auto"/>
              <w:contextualSpacing/>
              <w:rPr>
                <w:rFonts w:ascii="Arial" w:eastAsia="Times New Roman" w:hAnsi="Arial" w:cs="Arial"/>
                <w:noProof/>
                <w:sz w:val="22"/>
                <w:szCs w:val="22"/>
              </w:rPr>
            </w:pPr>
            <w:r w:rsidRPr="00A40EE0">
              <w:rPr>
                <w:rFonts w:ascii="Arial" w:eastAsia="Times New Roman" w:hAnsi="Arial" w:cs="Arial"/>
                <w:noProof/>
                <w:sz w:val="22"/>
                <w:szCs w:val="22"/>
              </w:rPr>
              <w:t>Transitional Assistance Department</w:t>
            </w:r>
          </w:p>
          <w:p w:rsidR="00A40EE0" w:rsidRPr="00A40EE0" w:rsidRDefault="00A40EE0" w:rsidP="00A40EE0">
            <w:pPr>
              <w:widowControl/>
              <w:numPr>
                <w:ilvl w:val="0"/>
                <w:numId w:val="37"/>
              </w:numPr>
              <w:spacing w:after="0" w:line="240" w:lineRule="auto"/>
              <w:contextualSpacing/>
              <w:rPr>
                <w:rFonts w:ascii="Arial" w:eastAsia="Times New Roman" w:hAnsi="Arial" w:cs="Arial"/>
                <w:sz w:val="22"/>
                <w:szCs w:val="22"/>
              </w:rPr>
            </w:pPr>
            <w:r w:rsidRPr="00A40EE0">
              <w:rPr>
                <w:rFonts w:ascii="Arial" w:eastAsia="Times New Roman" w:hAnsi="Arial" w:cs="Arial"/>
                <w:sz w:val="22"/>
                <w:szCs w:val="22"/>
              </w:rPr>
              <w:t>University of California, Riverside School of Medicine</w:t>
            </w:r>
          </w:p>
          <w:p w:rsidR="00A40EE0" w:rsidRPr="00A40EE0" w:rsidRDefault="00A40EE0" w:rsidP="00A40EE0">
            <w:pPr>
              <w:widowControl/>
              <w:numPr>
                <w:ilvl w:val="0"/>
                <w:numId w:val="37"/>
              </w:numPr>
              <w:spacing w:after="0" w:line="240" w:lineRule="auto"/>
              <w:contextualSpacing/>
              <w:rPr>
                <w:rFonts w:ascii="Arial" w:eastAsia="Times New Roman" w:hAnsi="Arial" w:cs="Arial"/>
                <w:noProof/>
                <w:sz w:val="22"/>
                <w:szCs w:val="22"/>
              </w:rPr>
            </w:pPr>
            <w:r w:rsidRPr="00A40EE0">
              <w:rPr>
                <w:rFonts w:ascii="Arial" w:eastAsia="Times New Roman" w:hAnsi="Arial" w:cs="Arial"/>
                <w:noProof/>
                <w:sz w:val="22"/>
                <w:szCs w:val="22"/>
              </w:rPr>
              <w:t>Victor Community Support Services</w:t>
            </w:r>
          </w:p>
        </w:tc>
      </w:tr>
      <w:tr w:rsidR="00A40EE0" w:rsidRPr="00A40EE0" w:rsidTr="00C542D4">
        <w:trPr>
          <w:trHeight w:val="170"/>
        </w:trPr>
        <w:tc>
          <w:tcPr>
            <w:tcW w:w="5000" w:type="pct"/>
            <w:gridSpan w:val="5"/>
            <w:tcBorders>
              <w:top w:val="nil"/>
              <w:left w:val="nil"/>
              <w:bottom w:val="nil"/>
              <w:right w:val="nil"/>
            </w:tcBorders>
            <w:shd w:val="clear" w:color="auto" w:fill="D9D9D9" w:themeFill="background1" w:themeFillShade="D9"/>
          </w:tcPr>
          <w:p w:rsidR="00A40EE0" w:rsidRPr="00A40EE0" w:rsidRDefault="00A40EE0" w:rsidP="00A40EE0">
            <w:pPr>
              <w:tabs>
                <w:tab w:val="left" w:pos="1656"/>
              </w:tabs>
              <w:spacing w:after="0" w:line="240" w:lineRule="auto"/>
              <w:rPr>
                <w:rFonts w:ascii="Arial" w:eastAsia="Arial" w:hAnsi="Arial" w:cs="Arial"/>
                <w:b/>
                <w:noProof/>
                <w:color w:val="000000"/>
                <w:sz w:val="22"/>
                <w:szCs w:val="22"/>
              </w:rPr>
            </w:pPr>
            <w:r w:rsidRPr="00A40EE0">
              <w:rPr>
                <w:rFonts w:ascii="Arial" w:eastAsia="Arial" w:hAnsi="Arial" w:cs="Arial"/>
                <w:b/>
                <w:noProof/>
                <w:color w:val="000000"/>
                <w:sz w:val="22"/>
                <w:szCs w:val="22"/>
              </w:rPr>
              <w:t>Programs</w:t>
            </w:r>
          </w:p>
          <w:p w:rsidR="00A40EE0" w:rsidRPr="00A40EE0" w:rsidRDefault="00A40EE0" w:rsidP="00A40EE0">
            <w:pPr>
              <w:tabs>
                <w:tab w:val="left" w:pos="1656"/>
              </w:tabs>
              <w:spacing w:after="0" w:line="240" w:lineRule="auto"/>
              <w:rPr>
                <w:rFonts w:ascii="Arial" w:eastAsia="Arial" w:hAnsi="Arial" w:cs="Arial"/>
                <w:b/>
                <w:noProof/>
                <w:color w:val="000000"/>
                <w:sz w:val="22"/>
                <w:szCs w:val="22"/>
              </w:rPr>
            </w:pPr>
          </w:p>
          <w:p w:rsidR="00A40EE0" w:rsidRPr="00A40EE0" w:rsidRDefault="00A40EE0" w:rsidP="00A40EE0">
            <w:pPr>
              <w:tabs>
                <w:tab w:val="left" w:pos="1656"/>
              </w:tabs>
              <w:spacing w:after="0" w:line="240" w:lineRule="auto"/>
              <w:rPr>
                <w:rFonts w:ascii="Arial" w:eastAsia="Arial" w:hAnsi="Arial" w:cs="Arial"/>
                <w:noProof/>
                <w:color w:val="000000"/>
                <w:sz w:val="22"/>
                <w:szCs w:val="22"/>
              </w:rPr>
            </w:pPr>
            <w:r w:rsidRPr="00A40EE0">
              <w:rPr>
                <w:rFonts w:ascii="Arial" w:eastAsia="Arial" w:hAnsi="Arial" w:cs="Arial"/>
                <w:b/>
                <w:noProof/>
                <w:color w:val="000000"/>
                <w:sz w:val="22"/>
                <w:szCs w:val="22"/>
              </w:rPr>
              <w:t xml:space="preserve">United Way 211: </w:t>
            </w:r>
            <w:r w:rsidRPr="00A40EE0">
              <w:rPr>
                <w:rFonts w:ascii="Arial" w:eastAsia="Arial" w:hAnsi="Arial" w:cs="Arial"/>
                <w:noProof/>
                <w:color w:val="000000"/>
                <w:sz w:val="22"/>
                <w:szCs w:val="22"/>
              </w:rPr>
              <w:t>Hotline that connects people to resources and services.</w:t>
            </w:r>
          </w:p>
          <w:p w:rsidR="00A40EE0" w:rsidRPr="00A40EE0" w:rsidRDefault="00A40EE0" w:rsidP="00A40EE0">
            <w:pPr>
              <w:tabs>
                <w:tab w:val="left" w:pos="1656"/>
              </w:tabs>
              <w:spacing w:after="0" w:line="240" w:lineRule="auto"/>
              <w:rPr>
                <w:rFonts w:ascii="Arial" w:eastAsia="Arial" w:hAnsi="Arial" w:cs="Arial"/>
                <w:b/>
                <w:noProof/>
                <w:color w:val="000000"/>
                <w:sz w:val="22"/>
                <w:szCs w:val="22"/>
              </w:rPr>
            </w:pPr>
          </w:p>
          <w:p w:rsidR="00A40EE0" w:rsidRPr="00A40EE0" w:rsidRDefault="00A40EE0" w:rsidP="00A40EE0">
            <w:pPr>
              <w:tabs>
                <w:tab w:val="left" w:pos="1656"/>
              </w:tabs>
              <w:spacing w:after="0" w:line="240" w:lineRule="auto"/>
              <w:rPr>
                <w:rFonts w:ascii="Arial" w:eastAsia="Arial" w:hAnsi="Arial" w:cs="Arial"/>
                <w:noProof/>
                <w:color w:val="000000"/>
                <w:sz w:val="22"/>
                <w:szCs w:val="22"/>
              </w:rPr>
            </w:pPr>
            <w:r w:rsidRPr="00A40EE0">
              <w:rPr>
                <w:rFonts w:ascii="Arial" w:eastAsia="Arial" w:hAnsi="Arial" w:cs="Arial"/>
                <w:b/>
                <w:noProof/>
                <w:color w:val="000000"/>
                <w:sz w:val="22"/>
                <w:szCs w:val="22"/>
              </w:rPr>
              <w:t xml:space="preserve">El Sol Neighborhood Educational Centers: </w:t>
            </w:r>
            <w:r w:rsidRPr="00A40EE0">
              <w:rPr>
                <w:rFonts w:ascii="Arial" w:eastAsia="Arial" w:hAnsi="Arial" w:cs="Arial"/>
                <w:noProof/>
                <w:color w:val="000000"/>
                <w:sz w:val="22"/>
                <w:szCs w:val="22"/>
              </w:rPr>
              <w:t>Family strengthening and case management services</w:t>
            </w:r>
          </w:p>
          <w:p w:rsidR="00A40EE0" w:rsidRPr="00A40EE0" w:rsidRDefault="00A40EE0" w:rsidP="00A40EE0">
            <w:pPr>
              <w:tabs>
                <w:tab w:val="left" w:pos="1656"/>
              </w:tabs>
              <w:spacing w:after="0" w:line="240" w:lineRule="auto"/>
              <w:rPr>
                <w:rFonts w:ascii="Arial" w:eastAsia="Arial" w:hAnsi="Arial" w:cs="Arial"/>
                <w:noProof/>
                <w:color w:val="000000"/>
                <w:sz w:val="22"/>
                <w:szCs w:val="22"/>
              </w:rPr>
            </w:pPr>
          </w:p>
          <w:p w:rsidR="00A40EE0" w:rsidRPr="00A40EE0" w:rsidRDefault="00A40EE0" w:rsidP="00A40EE0">
            <w:pPr>
              <w:tabs>
                <w:tab w:val="left" w:pos="1656"/>
              </w:tabs>
              <w:spacing w:after="0" w:line="240" w:lineRule="auto"/>
              <w:rPr>
                <w:rFonts w:ascii="Arial" w:eastAsia="Arial" w:hAnsi="Arial" w:cs="Arial"/>
                <w:noProof/>
                <w:color w:val="000000"/>
                <w:sz w:val="22"/>
                <w:szCs w:val="22"/>
              </w:rPr>
            </w:pPr>
            <w:r w:rsidRPr="00A40EE0">
              <w:rPr>
                <w:rFonts w:ascii="Arial" w:eastAsia="Arial" w:hAnsi="Arial" w:cs="Arial"/>
                <w:b/>
                <w:noProof/>
                <w:color w:val="000000"/>
                <w:sz w:val="22"/>
                <w:szCs w:val="22"/>
              </w:rPr>
              <w:t xml:space="preserve">Foothill AIDS Project: </w:t>
            </w:r>
            <w:r w:rsidRPr="00A40EE0">
              <w:rPr>
                <w:rFonts w:ascii="Arial" w:eastAsia="Arial" w:hAnsi="Arial" w:cs="Arial"/>
                <w:noProof/>
                <w:color w:val="000000"/>
                <w:sz w:val="22"/>
                <w:szCs w:val="22"/>
              </w:rPr>
              <w:t>Housing services for individuals with HIV/AIDS</w:t>
            </w:r>
          </w:p>
          <w:p w:rsidR="00A40EE0" w:rsidRPr="00A40EE0" w:rsidRDefault="00A40EE0" w:rsidP="00A40EE0">
            <w:pPr>
              <w:tabs>
                <w:tab w:val="left" w:pos="1656"/>
              </w:tabs>
              <w:spacing w:after="0" w:line="240" w:lineRule="auto"/>
              <w:rPr>
                <w:rFonts w:ascii="Arial" w:eastAsia="Arial" w:hAnsi="Arial" w:cs="Arial"/>
                <w:noProof/>
                <w:color w:val="000000"/>
                <w:sz w:val="22"/>
                <w:szCs w:val="22"/>
              </w:rPr>
            </w:pPr>
          </w:p>
          <w:p w:rsidR="00A40EE0" w:rsidRPr="00A40EE0" w:rsidRDefault="00A40EE0" w:rsidP="00A40EE0">
            <w:pPr>
              <w:tabs>
                <w:tab w:val="left" w:pos="1656"/>
              </w:tabs>
              <w:spacing w:after="0" w:line="240" w:lineRule="auto"/>
              <w:rPr>
                <w:rFonts w:ascii="Arial" w:eastAsia="Arial" w:hAnsi="Arial" w:cs="Arial"/>
                <w:noProof/>
                <w:color w:val="000000"/>
                <w:sz w:val="22"/>
                <w:szCs w:val="22"/>
              </w:rPr>
            </w:pPr>
            <w:r w:rsidRPr="00A40EE0">
              <w:rPr>
                <w:rFonts w:ascii="Arial" w:eastAsia="Arial" w:hAnsi="Arial" w:cs="Arial"/>
                <w:b/>
                <w:noProof/>
                <w:color w:val="000000"/>
                <w:sz w:val="22"/>
                <w:szCs w:val="22"/>
              </w:rPr>
              <w:t>Inland Empire Community Collaborative:</w:t>
            </w:r>
            <w:r w:rsidRPr="00A40EE0">
              <w:rPr>
                <w:rFonts w:ascii="Arial" w:eastAsia="Arial" w:hAnsi="Arial" w:cs="Arial"/>
                <w:noProof/>
                <w:color w:val="000000"/>
                <w:sz w:val="22"/>
                <w:szCs w:val="22"/>
              </w:rPr>
              <w:t xml:space="preserve"> A coaltion of service providers that include health, family strengthening, mental health, job training and employment services. While member agencies are located throughout the San Bernardino and Riverside County areas, their services are especially important in the Mountain communities where resources are limited.</w:t>
            </w:r>
          </w:p>
          <w:p w:rsidR="00A40EE0" w:rsidRPr="00A40EE0" w:rsidRDefault="00A40EE0" w:rsidP="00A40EE0">
            <w:pPr>
              <w:tabs>
                <w:tab w:val="left" w:pos="1656"/>
              </w:tabs>
              <w:spacing w:after="0" w:line="240" w:lineRule="auto"/>
              <w:rPr>
                <w:rFonts w:ascii="Arial" w:eastAsia="Arial" w:hAnsi="Arial" w:cs="Arial"/>
                <w:noProof/>
                <w:color w:val="000000"/>
                <w:sz w:val="22"/>
                <w:szCs w:val="22"/>
              </w:rPr>
            </w:pPr>
          </w:p>
          <w:p w:rsidR="00A40EE0" w:rsidRPr="00A40EE0" w:rsidRDefault="00A40EE0" w:rsidP="00A40EE0">
            <w:pPr>
              <w:tabs>
                <w:tab w:val="left" w:pos="1656"/>
              </w:tabs>
              <w:spacing w:after="0" w:line="240" w:lineRule="auto"/>
              <w:rPr>
                <w:rFonts w:ascii="Arial" w:eastAsia="Arial" w:hAnsi="Arial" w:cs="Arial"/>
                <w:noProof/>
                <w:color w:val="000000"/>
                <w:sz w:val="22"/>
                <w:szCs w:val="22"/>
              </w:rPr>
            </w:pPr>
            <w:r w:rsidRPr="00A40EE0">
              <w:rPr>
                <w:rFonts w:ascii="Arial" w:eastAsia="Arial" w:hAnsi="Arial" w:cs="Arial"/>
                <w:b/>
                <w:noProof/>
                <w:color w:val="000000"/>
                <w:sz w:val="22"/>
                <w:szCs w:val="22"/>
              </w:rPr>
              <w:t>Family Resource Centers:</w:t>
            </w:r>
            <w:r w:rsidRPr="00A40EE0">
              <w:rPr>
                <w:rFonts w:ascii="Arial" w:eastAsia="Arial" w:hAnsi="Arial" w:cs="Arial"/>
                <w:noProof/>
                <w:color w:val="000000"/>
                <w:sz w:val="22"/>
                <w:szCs w:val="22"/>
              </w:rPr>
              <w:t xml:space="preserve"> A number of agencies provide case management services for low-income families, such as Victor Community Support Services, Reach Out, RIM Family Services, Ontario/Montclair School District and Hearts &amp; Lives. These centers connect families to resources to meet acute needs and have case management services to help meet longer term needs, such as education (GED, college entry), ESL classes and connections to job training.</w:t>
            </w:r>
          </w:p>
          <w:p w:rsidR="00A40EE0" w:rsidRPr="00A40EE0" w:rsidRDefault="00A40EE0" w:rsidP="00A40EE0">
            <w:pPr>
              <w:tabs>
                <w:tab w:val="left" w:pos="1656"/>
              </w:tabs>
              <w:spacing w:after="0" w:line="240" w:lineRule="auto"/>
              <w:rPr>
                <w:rFonts w:ascii="Arial" w:eastAsia="Arial" w:hAnsi="Arial" w:cs="Arial"/>
                <w:noProof/>
                <w:color w:val="000000"/>
                <w:sz w:val="22"/>
                <w:szCs w:val="22"/>
              </w:rPr>
            </w:pPr>
          </w:p>
          <w:p w:rsidR="00A40EE0" w:rsidRPr="00A40EE0" w:rsidRDefault="00A40EE0" w:rsidP="00A40EE0">
            <w:pPr>
              <w:tabs>
                <w:tab w:val="left" w:pos="1656"/>
              </w:tabs>
              <w:spacing w:after="0" w:line="240" w:lineRule="auto"/>
              <w:rPr>
                <w:rFonts w:ascii="Arial" w:eastAsia="Arial" w:hAnsi="Arial" w:cs="Arial"/>
                <w:b/>
                <w:noProof/>
                <w:color w:val="000000"/>
                <w:sz w:val="22"/>
                <w:szCs w:val="22"/>
              </w:rPr>
            </w:pPr>
            <w:r w:rsidRPr="00A40EE0">
              <w:rPr>
                <w:rFonts w:ascii="Arial" w:eastAsia="Arial" w:hAnsi="Arial" w:cs="Arial"/>
                <w:b/>
                <w:noProof/>
                <w:color w:val="000000"/>
                <w:sz w:val="22"/>
                <w:szCs w:val="22"/>
              </w:rPr>
              <w:t>Policy, Planning, and Collaboration</w:t>
            </w:r>
          </w:p>
          <w:p w:rsidR="00A40EE0" w:rsidRPr="00A40EE0" w:rsidRDefault="00A40EE0" w:rsidP="00A40EE0">
            <w:pPr>
              <w:spacing w:after="0" w:line="240" w:lineRule="auto"/>
              <w:rPr>
                <w:rFonts w:ascii="Arial" w:eastAsia="Arial" w:hAnsi="Arial" w:cs="Arial"/>
                <w:color w:val="000000"/>
                <w:sz w:val="22"/>
                <w:szCs w:val="22"/>
              </w:rPr>
            </w:pPr>
            <w:r w:rsidRPr="00A40EE0">
              <w:rPr>
                <w:rFonts w:ascii="Arial" w:eastAsia="Arial" w:hAnsi="Arial" w:cs="Arial"/>
                <w:b/>
                <w:color w:val="000000"/>
                <w:sz w:val="22"/>
                <w:szCs w:val="22"/>
              </w:rPr>
              <w:t xml:space="preserve">The Inland Empire Economic Partnership: </w:t>
            </w:r>
            <w:r w:rsidRPr="00A40EE0">
              <w:rPr>
                <w:rFonts w:ascii="Arial" w:eastAsia="Arial" w:hAnsi="Arial" w:cs="Arial"/>
                <w:color w:val="000000"/>
                <w:sz w:val="22"/>
                <w:szCs w:val="22"/>
              </w:rPr>
              <w:t>This coalition of business and government leaders is dedicated to bringing jobs, economic opportunities and a better quality of life to the residents of San Bernardino and Riverside counties. The Inland Empire Economic Partnership is the Inland Empire’s largest economic development agency, founded more than 30 years ago as a means to enhance the economic climate of the region and grow job creation in Riverside and San Bernardino counties. IEEP is focused on improving the overall quality of life in the Inland Empire by raising the standard of living, by improving education, transportation, health care and communication in the area, and by giving the region a unified voice across California.</w:t>
            </w:r>
          </w:p>
          <w:p w:rsidR="00A40EE0" w:rsidRPr="00A40EE0" w:rsidRDefault="00A40EE0" w:rsidP="00A40EE0">
            <w:pPr>
              <w:tabs>
                <w:tab w:val="left" w:pos="1656"/>
              </w:tabs>
              <w:spacing w:after="0" w:line="240" w:lineRule="auto"/>
              <w:rPr>
                <w:rFonts w:ascii="Arial" w:eastAsia="Arial" w:hAnsi="Arial" w:cs="Arial"/>
                <w:noProof/>
                <w:color w:val="000000"/>
                <w:sz w:val="22"/>
                <w:szCs w:val="22"/>
              </w:rPr>
            </w:pPr>
          </w:p>
        </w:tc>
      </w:tr>
      <w:tr w:rsidR="00A40EE0" w:rsidRPr="00A40EE0" w:rsidTr="00C542D4">
        <w:trPr>
          <w:trHeight w:val="216"/>
        </w:trPr>
        <w:tc>
          <w:tcPr>
            <w:tcW w:w="5000" w:type="pct"/>
            <w:gridSpan w:val="5"/>
            <w:tcBorders>
              <w:top w:val="nil"/>
              <w:left w:val="nil"/>
              <w:bottom w:val="nil"/>
              <w:right w:val="nil"/>
            </w:tcBorders>
            <w:shd w:val="clear" w:color="auto" w:fill="FFFFFF" w:themeFill="background1"/>
            <w:hideMark/>
          </w:tcPr>
          <w:p w:rsidR="00A40EE0" w:rsidRPr="00A40EE0" w:rsidRDefault="00A40EE0" w:rsidP="00A40EE0">
            <w:pPr>
              <w:tabs>
                <w:tab w:val="left" w:pos="1656"/>
              </w:tabs>
              <w:spacing w:after="0" w:line="240" w:lineRule="auto"/>
              <w:rPr>
                <w:rFonts w:ascii="Arial" w:eastAsia="Arial" w:hAnsi="Arial" w:cs="Arial"/>
                <w:b/>
                <w:noProof/>
                <w:color w:val="000000"/>
                <w:sz w:val="22"/>
                <w:szCs w:val="24"/>
              </w:rPr>
            </w:pPr>
            <w:r w:rsidRPr="00A40EE0">
              <w:rPr>
                <w:rFonts w:ascii="Arial" w:eastAsia="Arial" w:hAnsi="Arial" w:cs="Arial"/>
                <w:color w:val="000000"/>
                <w:sz w:val="22"/>
                <w:szCs w:val="22"/>
              </w:rPr>
              <w:t xml:space="preserve">Icons from </w:t>
            </w:r>
            <w:hyperlink r:id="rId32" w:history="1">
              <w:r w:rsidRPr="00A40EE0">
                <w:rPr>
                  <w:rFonts w:ascii="Arial" w:eastAsia="Arial" w:hAnsi="Arial" w:cs="Arial"/>
                  <w:color w:val="1155CC"/>
                  <w:sz w:val="22"/>
                  <w:szCs w:val="22"/>
                  <w:u w:val="single"/>
                </w:rPr>
                <w:t>The Noun Project</w:t>
              </w:r>
            </w:hyperlink>
          </w:p>
        </w:tc>
      </w:tr>
    </w:tbl>
    <w:p w:rsidR="00F41485" w:rsidRDefault="00F41485" w:rsidP="00B26DA4">
      <w:pPr>
        <w:rPr>
          <w:rFonts w:ascii="Arial" w:eastAsia="Arial" w:hAnsi="Arial" w:cs="Arial"/>
          <w:sz w:val="32"/>
          <w:szCs w:val="32"/>
        </w:rPr>
      </w:pPr>
      <w:r>
        <w:rPr>
          <w:rFonts w:ascii="Arial" w:eastAsia="Arial" w:hAnsi="Arial" w:cs="Arial"/>
          <w:sz w:val="32"/>
          <w:szCs w:val="32"/>
        </w:rPr>
        <w:br w:type="page"/>
      </w:r>
    </w:p>
    <w:tbl>
      <w:tblPr>
        <w:tblW w:w="10170" w:type="dxa"/>
        <w:jc w:val="center"/>
        <w:tblLayout w:type="fixed"/>
        <w:tblLook w:val="0600" w:firstRow="0" w:lastRow="0" w:firstColumn="0" w:lastColumn="0" w:noHBand="1" w:noVBand="1"/>
      </w:tblPr>
      <w:tblGrid>
        <w:gridCol w:w="45"/>
        <w:gridCol w:w="852"/>
        <w:gridCol w:w="180"/>
        <w:gridCol w:w="11"/>
        <w:gridCol w:w="3550"/>
        <w:gridCol w:w="222"/>
        <w:gridCol w:w="5217"/>
        <w:gridCol w:w="93"/>
      </w:tblGrid>
      <w:tr w:rsidR="00BC3E80" w:rsidRPr="00BC3E80" w:rsidTr="009446CC">
        <w:trPr>
          <w:gridBefore w:val="1"/>
          <w:wBefore w:w="45" w:type="dxa"/>
          <w:trHeight w:val="1880"/>
          <w:jc w:val="center"/>
        </w:trPr>
        <w:tc>
          <w:tcPr>
            <w:tcW w:w="10080" w:type="dxa"/>
            <w:gridSpan w:val="7"/>
            <w:tcMar>
              <w:top w:w="100" w:type="dxa"/>
              <w:left w:w="100" w:type="dxa"/>
              <w:bottom w:w="100" w:type="dxa"/>
              <w:right w:w="100" w:type="dxa"/>
            </w:tcMar>
          </w:tcPr>
          <w:p w:rsidR="00BC3E80" w:rsidRPr="00BC3E80" w:rsidRDefault="00BC3E80" w:rsidP="00BC3E80">
            <w:pPr>
              <w:spacing w:after="0" w:line="240" w:lineRule="auto"/>
              <w:jc w:val="center"/>
              <w:outlineLvl w:val="1"/>
              <w:rPr>
                <w:rFonts w:ascii="Arial" w:eastAsia="Arial" w:hAnsi="Arial" w:cs="Arial"/>
                <w:color w:val="1F497D"/>
                <w:sz w:val="32"/>
                <w:szCs w:val="32"/>
              </w:rPr>
            </w:pPr>
            <w:bookmarkStart w:id="11" w:name="_Toc452498446"/>
            <w:r w:rsidRPr="00BC3E80">
              <w:rPr>
                <w:rFonts w:ascii="Arial" w:eastAsia="Arial" w:hAnsi="Arial" w:cs="Arial"/>
                <w:b/>
                <w:color w:val="1F497D"/>
                <w:sz w:val="32"/>
                <w:szCs w:val="32"/>
              </w:rPr>
              <w:t>Mental Health</w:t>
            </w:r>
            <w:bookmarkEnd w:id="11"/>
          </w:p>
          <w:p w:rsidR="00BC3E80" w:rsidRPr="00BC3E80" w:rsidRDefault="00BC3E80" w:rsidP="00BC3E80">
            <w:pPr>
              <w:spacing w:after="120" w:line="240" w:lineRule="auto"/>
              <w:rPr>
                <w:rFonts w:ascii="Arial" w:eastAsia="Arial" w:hAnsi="Arial" w:cs="Arial"/>
                <w:color w:val="1F497D"/>
                <w:sz w:val="22"/>
                <w:szCs w:val="22"/>
              </w:rPr>
            </w:pPr>
            <w:r w:rsidRPr="00BC3E80">
              <w:rPr>
                <w:rFonts w:ascii="Arial" w:eastAsia="Arial" w:hAnsi="Arial" w:cs="Arial"/>
                <w:b/>
                <w:color w:val="000000"/>
                <w:sz w:val="22"/>
                <w:szCs w:val="22"/>
              </w:rPr>
              <w:t>Description and Significance:</w:t>
            </w:r>
            <w:r w:rsidRPr="00BC3E80">
              <w:rPr>
                <w:rFonts w:ascii="Arial" w:eastAsia="Arial" w:hAnsi="Arial" w:cs="Arial"/>
                <w:color w:val="000000"/>
                <w:sz w:val="22"/>
                <w:szCs w:val="22"/>
              </w:rPr>
              <w:t xml:space="preserve"> </w:t>
            </w:r>
            <w:r w:rsidRPr="00BC3E80">
              <w:rPr>
                <w:rFonts w:ascii="Arial" w:eastAsia="Arial" w:hAnsi="Arial" w:cs="Arial"/>
                <w:sz w:val="22"/>
                <w:szCs w:val="22"/>
              </w:rPr>
              <w:t>Mental health includes emotional, behavioral, and social well-being.</w:t>
            </w:r>
            <w:r w:rsidRPr="00BC3E80">
              <w:rPr>
                <w:rFonts w:ascii="Arial" w:eastAsia="Arial" w:hAnsi="Arial" w:cs="Arial"/>
                <w:sz w:val="22"/>
                <w:szCs w:val="22"/>
                <w:shd w:val="clear" w:color="auto" w:fill="FFFFFF"/>
              </w:rPr>
              <w:t xml:space="preserve"> Mental health is essential to personal well-being, family and interpersonal relationships, and the ability to contribute to community or society. Mental health disorders are the leading cause of disability in the United States, accounting for 25% of all years of life lost to disability and premature mortality (Health People 2020). In the United States in 2014, 3.1% of adults reported having serious psychological distress in the past 30 days (National Center for Health Statistics).  </w:t>
            </w:r>
          </w:p>
        </w:tc>
      </w:tr>
      <w:tr w:rsidR="00BC3E80" w:rsidRPr="00BC3E80" w:rsidTr="009446CC">
        <w:trPr>
          <w:gridBefore w:val="1"/>
          <w:wBefore w:w="45" w:type="dxa"/>
          <w:trHeight w:val="400"/>
          <w:jc w:val="center"/>
        </w:trPr>
        <w:tc>
          <w:tcPr>
            <w:tcW w:w="10080" w:type="dxa"/>
            <w:gridSpan w:val="7"/>
            <w:shd w:val="clear" w:color="auto" w:fill="006D9D"/>
            <w:tcMar>
              <w:top w:w="57" w:type="dxa"/>
              <w:left w:w="57" w:type="dxa"/>
              <w:bottom w:w="57" w:type="dxa"/>
              <w:right w:w="57" w:type="dxa"/>
            </w:tcMar>
          </w:tcPr>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b/>
                <w:color w:val="FFFFFF"/>
                <w:sz w:val="32"/>
                <w:szCs w:val="32"/>
              </w:rPr>
              <w:t>Health Outcome Statistics</w:t>
            </w:r>
          </w:p>
        </w:tc>
      </w:tr>
      <w:tr w:rsidR="00BC3E80" w:rsidRPr="00BC3E80" w:rsidTr="009446CC">
        <w:trPr>
          <w:gridBefore w:val="1"/>
          <w:wBefore w:w="45" w:type="dxa"/>
          <w:trHeight w:val="800"/>
          <w:jc w:val="center"/>
        </w:trPr>
        <w:tc>
          <w:tcPr>
            <w:tcW w:w="1043" w:type="dxa"/>
            <w:gridSpan w:val="3"/>
          </w:tcPr>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noProof/>
                <w:color w:val="000000"/>
                <w:sz w:val="22"/>
                <w:szCs w:val="22"/>
              </w:rPr>
              <w:drawing>
                <wp:anchor distT="0" distB="0" distL="114300" distR="114300" simplePos="0" relativeHeight="251668480" behindDoc="0" locked="0" layoutInCell="1" allowOverlap="1" wp14:anchorId="5560C99D" wp14:editId="7D235D07">
                  <wp:simplePos x="0" y="0"/>
                  <wp:positionH relativeFrom="column">
                    <wp:posOffset>7620</wp:posOffset>
                  </wp:positionH>
                  <wp:positionV relativeFrom="paragraph">
                    <wp:posOffset>-3810</wp:posOffset>
                  </wp:positionV>
                  <wp:extent cx="542925" cy="427355"/>
                  <wp:effectExtent l="0" t="0" r="9525" b="0"/>
                  <wp:wrapNone/>
                  <wp:docPr id="1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42925" cy="427355"/>
                          </a:xfrm>
                          <a:prstGeom prst="rect">
                            <a:avLst/>
                          </a:prstGeom>
                          <a:ln/>
                        </pic:spPr>
                      </pic:pic>
                    </a:graphicData>
                  </a:graphic>
                  <wp14:sizeRelH relativeFrom="page">
                    <wp14:pctWidth>0</wp14:pctWidth>
                  </wp14:sizeRelH>
                  <wp14:sizeRelV relativeFrom="page">
                    <wp14:pctHeight>0</wp14:pctHeight>
                  </wp14:sizeRelV>
                </wp:anchor>
              </w:drawing>
            </w:r>
          </w:p>
        </w:tc>
        <w:tc>
          <w:tcPr>
            <w:tcW w:w="3772" w:type="dxa"/>
            <w:gridSpan w:val="2"/>
          </w:tcPr>
          <w:p w:rsidR="00BC3E80" w:rsidRPr="00BC3E80" w:rsidRDefault="00BC3E80" w:rsidP="00BC3E80">
            <w:pPr>
              <w:spacing w:after="0" w:line="240" w:lineRule="auto"/>
              <w:jc w:val="center"/>
              <w:rPr>
                <w:rFonts w:ascii="Arial" w:eastAsia="Arial" w:hAnsi="Arial" w:cs="Arial"/>
                <w:b/>
                <w:color w:val="000000"/>
                <w:sz w:val="22"/>
                <w:szCs w:val="22"/>
              </w:rPr>
            </w:pPr>
          </w:p>
          <w:p w:rsidR="00BC3E80" w:rsidRPr="00BC3E80" w:rsidRDefault="00BC3E80" w:rsidP="00BC3E80">
            <w:pPr>
              <w:spacing w:after="0" w:line="240" w:lineRule="auto"/>
              <w:jc w:val="center"/>
              <w:rPr>
                <w:rFonts w:ascii="Arial" w:eastAsia="Arial" w:hAnsi="Arial" w:cs="Arial"/>
                <w:b/>
                <w:color w:val="000000"/>
                <w:sz w:val="22"/>
                <w:szCs w:val="22"/>
              </w:rPr>
            </w:pPr>
            <w:r w:rsidRPr="00BC3E80">
              <w:rPr>
                <w:rFonts w:ascii="Arial" w:eastAsia="Arial" w:hAnsi="Arial" w:cs="Arial"/>
                <w:b/>
                <w:color w:val="000000"/>
                <w:sz w:val="22"/>
                <w:szCs w:val="22"/>
              </w:rPr>
              <w:t>Percentage with Poor Mental Health</w:t>
            </w:r>
          </w:p>
          <w:p w:rsidR="00BC3E80" w:rsidRPr="00BC3E80" w:rsidRDefault="00BC3E80" w:rsidP="00BC3E80">
            <w:pPr>
              <w:spacing w:after="0" w:line="240" w:lineRule="auto"/>
              <w:jc w:val="center"/>
              <w:rPr>
                <w:rFonts w:ascii="Arial" w:eastAsia="Arial" w:hAnsi="Arial" w:cs="Arial"/>
                <w:b/>
                <w:color w:val="000000"/>
                <w:sz w:val="22"/>
                <w:szCs w:val="22"/>
              </w:rPr>
            </w:pPr>
          </w:p>
        </w:tc>
        <w:tc>
          <w:tcPr>
            <w:tcW w:w="5265" w:type="dxa"/>
            <w:gridSpan w:val="2"/>
            <w:vMerge w:val="restart"/>
          </w:tcPr>
          <w:p w:rsidR="00BC3E80" w:rsidRPr="00BC3E80" w:rsidRDefault="00BC3E80" w:rsidP="00BC3E80">
            <w:pPr>
              <w:spacing w:after="0" w:line="240" w:lineRule="auto"/>
              <w:rPr>
                <w:rFonts w:ascii="Arial" w:eastAsia="Arial" w:hAnsi="Arial" w:cs="Arial"/>
                <w:b/>
                <w:color w:val="000000"/>
                <w:sz w:val="22"/>
                <w:szCs w:val="22"/>
              </w:rPr>
            </w:pPr>
          </w:p>
          <w:p w:rsidR="00BC3E80" w:rsidRPr="00BC3E80" w:rsidRDefault="00BC3E80" w:rsidP="00BC3E80">
            <w:pPr>
              <w:spacing w:after="0" w:line="240" w:lineRule="auto"/>
              <w:jc w:val="center"/>
              <w:rPr>
                <w:rFonts w:ascii="Arial" w:eastAsia="Arial" w:hAnsi="Arial" w:cs="Arial"/>
                <w:b/>
                <w:color w:val="000000"/>
                <w:sz w:val="22"/>
                <w:szCs w:val="24"/>
              </w:rPr>
            </w:pPr>
          </w:p>
          <w:p w:rsidR="00BC3E80" w:rsidRPr="00BC3E80" w:rsidRDefault="00BC3E80" w:rsidP="00BC3E80">
            <w:pPr>
              <w:spacing w:after="0" w:line="240" w:lineRule="auto"/>
              <w:rPr>
                <w:rFonts w:ascii="Arial" w:eastAsia="Arial" w:hAnsi="Arial" w:cs="Arial"/>
                <w:color w:val="000000"/>
                <w:sz w:val="20"/>
                <w:szCs w:val="20"/>
              </w:rPr>
            </w:pPr>
          </w:p>
          <w:p w:rsidR="00BC3E80" w:rsidRPr="00BC3E80" w:rsidRDefault="00BC3E80" w:rsidP="00BC3E80">
            <w:pPr>
              <w:spacing w:after="0" w:line="240" w:lineRule="auto"/>
              <w:rPr>
                <w:rFonts w:ascii="Arial" w:eastAsia="Arial" w:hAnsi="Arial" w:cs="Arial"/>
                <w:color w:val="000000"/>
                <w:sz w:val="20"/>
                <w:szCs w:val="20"/>
              </w:rPr>
            </w:pPr>
          </w:p>
          <w:p w:rsidR="00BC3E80" w:rsidRPr="00BC3E80" w:rsidRDefault="00BC3E80" w:rsidP="00BC3E80">
            <w:pPr>
              <w:spacing w:after="0" w:line="240" w:lineRule="auto"/>
              <w:rPr>
                <w:rFonts w:ascii="Arial" w:eastAsia="Arial" w:hAnsi="Arial" w:cs="Arial"/>
                <w:color w:val="000000"/>
                <w:sz w:val="20"/>
                <w:szCs w:val="20"/>
              </w:rPr>
            </w:pPr>
          </w:p>
          <w:p w:rsidR="00BC3E80" w:rsidRPr="00BC3E80" w:rsidRDefault="00BC3E80" w:rsidP="00BC3E80">
            <w:pPr>
              <w:spacing w:after="0" w:line="240" w:lineRule="auto"/>
              <w:rPr>
                <w:rFonts w:ascii="Arial" w:eastAsia="Arial" w:hAnsi="Arial" w:cs="Arial"/>
                <w:color w:val="000000"/>
                <w:sz w:val="20"/>
                <w:szCs w:val="20"/>
              </w:rPr>
            </w:pPr>
          </w:p>
          <w:p w:rsidR="00BC3E80" w:rsidRPr="00BC3E80" w:rsidRDefault="00BC3E80" w:rsidP="00BC3E80">
            <w:pPr>
              <w:spacing w:after="0" w:line="240" w:lineRule="auto"/>
              <w:rPr>
                <w:rFonts w:ascii="Arial" w:eastAsia="Open Sans" w:hAnsi="Arial" w:cs="Arial"/>
                <w:i/>
                <w:iCs/>
                <w:color w:val="555555"/>
                <w:sz w:val="20"/>
                <w:szCs w:val="20"/>
              </w:rPr>
            </w:pPr>
            <w:r w:rsidRPr="00BC3E80">
              <w:rPr>
                <w:rFonts w:ascii="Arial" w:eastAsia="Arial" w:hAnsi="Arial" w:cs="Arial"/>
                <w:color w:val="000000"/>
                <w:sz w:val="20"/>
                <w:szCs w:val="20"/>
              </w:rPr>
              <w:t>The average number of mentally unhealthy days (during past 30 days) for the Ontario and KFH-Fontana Medical Center Service Areas is slightly lower than for the S CA MCA and the state.</w:t>
            </w:r>
          </w:p>
          <w:p w:rsidR="00BC3E80" w:rsidRPr="00BC3E80" w:rsidRDefault="00BC3E80" w:rsidP="00BC3E80">
            <w:pPr>
              <w:spacing w:after="0" w:line="240" w:lineRule="auto"/>
              <w:rPr>
                <w:rFonts w:ascii="Arial" w:eastAsia="Open Sans" w:hAnsi="Arial" w:cs="Arial"/>
                <w:i/>
                <w:iCs/>
                <w:color w:val="555555"/>
                <w:sz w:val="18"/>
                <w:szCs w:val="18"/>
              </w:rPr>
            </w:pPr>
          </w:p>
          <w:p w:rsidR="00BC3E80" w:rsidRPr="00BC3E80" w:rsidRDefault="00BC3E80" w:rsidP="00BC3E80">
            <w:pPr>
              <w:spacing w:after="0" w:line="240" w:lineRule="auto"/>
              <w:rPr>
                <w:rFonts w:ascii="Arial" w:eastAsia="Arial" w:hAnsi="Arial" w:cs="Arial"/>
                <w:b/>
                <w:color w:val="000000"/>
                <w:sz w:val="22"/>
                <w:szCs w:val="24"/>
              </w:rPr>
            </w:pPr>
            <w:r w:rsidRPr="00BC3E80">
              <w:rPr>
                <w:rFonts w:ascii="Arial" w:eastAsia="Open Sans" w:hAnsi="Arial" w:cs="Arial"/>
                <w:i/>
                <w:iCs/>
                <w:color w:val="555555"/>
                <w:sz w:val="18"/>
                <w:szCs w:val="18"/>
              </w:rPr>
              <w:t>Source: University of California Center for Health Policy Research, California Health Interview Survey. 2013-14. Source geography: County (Grouping)</w:t>
            </w:r>
          </w:p>
        </w:tc>
      </w:tr>
      <w:tr w:rsidR="00BC3E80" w:rsidRPr="00BC3E80" w:rsidTr="009446CC">
        <w:trPr>
          <w:gridBefore w:val="1"/>
          <w:wBefore w:w="45" w:type="dxa"/>
          <w:trHeight w:val="3132"/>
          <w:jc w:val="center"/>
        </w:trPr>
        <w:tc>
          <w:tcPr>
            <w:tcW w:w="4815" w:type="dxa"/>
            <w:gridSpan w:val="5"/>
          </w:tcPr>
          <w:p w:rsidR="00BC3E80" w:rsidRPr="00BC3E80" w:rsidRDefault="00BC3E80" w:rsidP="00BC3E80">
            <w:pPr>
              <w:spacing w:after="0" w:line="240" w:lineRule="auto"/>
              <w:rPr>
                <w:rFonts w:ascii="Arial" w:eastAsia="Open Sans" w:hAnsi="Arial" w:cs="Arial"/>
                <w:i/>
                <w:iCs/>
                <w:color w:val="555555"/>
                <w:sz w:val="18"/>
                <w:szCs w:val="18"/>
              </w:rPr>
            </w:pPr>
          </w:p>
          <w:p w:rsidR="00BC3E80" w:rsidRPr="00BC3E80" w:rsidRDefault="00BC3E80" w:rsidP="00BC3E80">
            <w:pPr>
              <w:spacing w:after="0" w:line="240" w:lineRule="auto"/>
              <w:rPr>
                <w:rFonts w:ascii="Arial" w:eastAsia="Open Sans" w:hAnsi="Arial" w:cs="Arial"/>
                <w:i/>
                <w:iCs/>
                <w:color w:val="555555"/>
                <w:sz w:val="18"/>
                <w:szCs w:val="18"/>
              </w:rPr>
            </w:pPr>
            <w:r w:rsidRPr="00BC3E80">
              <w:rPr>
                <w:rFonts w:ascii="Arial" w:eastAsia="Arial" w:hAnsi="Arial" w:cs="Arial"/>
                <w:b/>
                <w:noProof/>
                <w:color w:val="000000"/>
                <w:sz w:val="22"/>
                <w:szCs w:val="24"/>
              </w:rPr>
              <w:drawing>
                <wp:inline distT="0" distB="0" distL="0" distR="0" wp14:anchorId="50B4E34E" wp14:editId="46811AA7">
                  <wp:extent cx="3045349" cy="1566407"/>
                  <wp:effectExtent l="0" t="0" r="3175"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5265" w:type="dxa"/>
            <w:gridSpan w:val="2"/>
            <w:vMerge/>
          </w:tcPr>
          <w:p w:rsidR="00BC3E80" w:rsidRPr="00BC3E80" w:rsidRDefault="00BC3E80" w:rsidP="00BC3E80">
            <w:pPr>
              <w:spacing w:after="0" w:line="240" w:lineRule="auto"/>
              <w:rPr>
                <w:rFonts w:ascii="Arial" w:eastAsia="Arial" w:hAnsi="Arial" w:cs="Arial"/>
                <w:color w:val="000000"/>
                <w:sz w:val="22"/>
                <w:szCs w:val="22"/>
              </w:rPr>
            </w:pPr>
          </w:p>
        </w:tc>
      </w:tr>
      <w:tr w:rsidR="00BC3E80" w:rsidRPr="00BC3E80" w:rsidTr="009446CC">
        <w:trPr>
          <w:gridBefore w:val="1"/>
          <w:wBefore w:w="45" w:type="dxa"/>
          <w:trHeight w:val="630"/>
          <w:jc w:val="center"/>
        </w:trPr>
        <w:tc>
          <w:tcPr>
            <w:tcW w:w="4815" w:type="dxa"/>
            <w:gridSpan w:val="5"/>
          </w:tcPr>
          <w:p w:rsidR="00BC3E80" w:rsidRPr="00BC3E80" w:rsidRDefault="00BC3E80" w:rsidP="00BC3E80">
            <w:pPr>
              <w:spacing w:after="0" w:line="240" w:lineRule="auto"/>
              <w:jc w:val="center"/>
              <w:rPr>
                <w:rFonts w:ascii="Arial" w:eastAsia="Arial" w:hAnsi="Arial" w:cs="Arial"/>
                <w:b/>
                <w:color w:val="000000"/>
                <w:sz w:val="22"/>
                <w:szCs w:val="22"/>
              </w:rPr>
            </w:pPr>
          </w:p>
          <w:p w:rsidR="00BC3E80" w:rsidRPr="00BC3E80" w:rsidRDefault="00BC3E80" w:rsidP="00BC3E80">
            <w:pPr>
              <w:spacing w:after="0" w:line="240" w:lineRule="auto"/>
              <w:jc w:val="center"/>
              <w:rPr>
                <w:rFonts w:ascii="Arial" w:eastAsia="Arial" w:hAnsi="Arial" w:cs="Arial"/>
                <w:color w:val="000000"/>
                <w:sz w:val="22"/>
                <w:szCs w:val="22"/>
              </w:rPr>
            </w:pPr>
            <w:r w:rsidRPr="00BC3E80">
              <w:rPr>
                <w:rFonts w:ascii="Arial" w:eastAsia="Arial" w:hAnsi="Arial" w:cs="Arial"/>
                <w:b/>
                <w:color w:val="000000"/>
                <w:sz w:val="22"/>
                <w:szCs w:val="22"/>
              </w:rPr>
              <w:t>Poor Mental Health Days</w:t>
            </w:r>
          </w:p>
          <w:p w:rsidR="00BC3E80" w:rsidRPr="00BC3E80" w:rsidRDefault="00BC3E80" w:rsidP="00BC3E80">
            <w:pPr>
              <w:spacing w:after="120" w:line="240" w:lineRule="auto"/>
              <w:rPr>
                <w:rFonts w:ascii="Arial" w:eastAsia="Arial" w:hAnsi="Arial" w:cs="Arial"/>
                <w:color w:val="000000"/>
                <w:sz w:val="20"/>
                <w:szCs w:val="20"/>
              </w:rPr>
            </w:pPr>
            <w:r w:rsidRPr="00BC3E80">
              <w:rPr>
                <w:rFonts w:ascii="Arial" w:eastAsia="Calibri" w:hAnsi="Arial" w:cs="Arial"/>
                <w:b/>
                <w:noProof/>
                <w:sz w:val="22"/>
                <w:szCs w:val="22"/>
              </w:rPr>
              <w:drawing>
                <wp:inline distT="0" distB="0" distL="0" distR="0" wp14:anchorId="61E8410C" wp14:editId="26145509">
                  <wp:extent cx="3277275" cy="1602223"/>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C3E80" w:rsidRPr="00BC3E80" w:rsidRDefault="00BC3E80" w:rsidP="00BC3E80">
            <w:pPr>
              <w:spacing w:after="120" w:line="240" w:lineRule="auto"/>
              <w:rPr>
                <w:rFonts w:ascii="Arial" w:eastAsia="Arial" w:hAnsi="Arial" w:cs="Arial"/>
                <w:color w:val="000000"/>
                <w:sz w:val="20"/>
                <w:szCs w:val="20"/>
              </w:rPr>
            </w:pPr>
            <w:r w:rsidRPr="00BC3E80">
              <w:rPr>
                <w:rFonts w:ascii="Arial" w:eastAsia="Arial" w:hAnsi="Arial" w:cs="Arial"/>
                <w:color w:val="000000"/>
                <w:sz w:val="20"/>
                <w:szCs w:val="20"/>
              </w:rPr>
              <w:t xml:space="preserve">The chart above reflects the percentage of adults who self-report that there was ever a time during the past 12 months when they felt that they might need to see a professional because of problems with their mental health, emotions, nerves, or use of alcohol or drugs. Both the KFH-Fontana/Ontario Medical Center Service Areas fare worse than the S CA MCA and the state on this indicator. </w:t>
            </w:r>
          </w:p>
          <w:p w:rsidR="00BC3E80" w:rsidRPr="00BC3E80" w:rsidRDefault="00BC3E80" w:rsidP="00BC3E80">
            <w:pPr>
              <w:spacing w:after="0" w:line="240" w:lineRule="auto"/>
              <w:rPr>
                <w:rFonts w:ascii="Arial" w:eastAsia="Open Sans" w:hAnsi="Arial" w:cs="Arial"/>
                <w:i/>
                <w:iCs/>
                <w:color w:val="555555"/>
                <w:sz w:val="18"/>
                <w:szCs w:val="18"/>
              </w:rPr>
            </w:pPr>
            <w:r w:rsidRPr="00BC3E80">
              <w:rPr>
                <w:rFonts w:ascii="Arial" w:eastAsia="Open Sans" w:hAnsi="Arial" w:cs="Arial"/>
                <w:i/>
                <w:iCs/>
                <w:color w:val="555555"/>
                <w:sz w:val="18"/>
                <w:szCs w:val="18"/>
                <w:highlight w:val="white"/>
              </w:rPr>
              <w:t>Centers for Disease Control and Prevention, </w:t>
            </w:r>
            <w:hyperlink r:id="rId35" w:tgtFrame="_blank" w:history="1">
              <w:r w:rsidRPr="00BC3E80">
                <w:rPr>
                  <w:rFonts w:ascii="Arial" w:eastAsia="Open Sans" w:hAnsi="Arial" w:cs="Arial"/>
                  <w:i/>
                  <w:iCs/>
                  <w:color w:val="0000FF"/>
                  <w:sz w:val="18"/>
                  <w:szCs w:val="18"/>
                  <w:highlight w:val="white"/>
                  <w:u w:val="single"/>
                </w:rPr>
                <w:t>Behavioral Risk Factor Surveillance System</w:t>
              </w:r>
            </w:hyperlink>
            <w:r w:rsidRPr="00BC3E80">
              <w:rPr>
                <w:rFonts w:ascii="Arial" w:eastAsia="Open Sans" w:hAnsi="Arial" w:cs="Arial"/>
                <w:i/>
                <w:iCs/>
                <w:color w:val="555555"/>
                <w:sz w:val="18"/>
                <w:szCs w:val="18"/>
                <w:highlight w:val="white"/>
              </w:rPr>
              <w:t>. Accessed via the</w:t>
            </w:r>
            <w:r w:rsidRPr="00BC3E80">
              <w:rPr>
                <w:rFonts w:ascii="Arial" w:eastAsia="Open Sans" w:hAnsi="Arial" w:cs="Arial"/>
                <w:i/>
                <w:iCs/>
                <w:color w:val="555555"/>
                <w:sz w:val="18"/>
                <w:szCs w:val="18"/>
              </w:rPr>
              <w:t xml:space="preserve"> </w:t>
            </w:r>
            <w:hyperlink r:id="rId36" w:tgtFrame="_blank" w:history="1">
              <w:r w:rsidRPr="00BC3E80">
                <w:rPr>
                  <w:rFonts w:ascii="Arial" w:eastAsia="Open Sans" w:hAnsi="Arial" w:cs="Arial"/>
                  <w:i/>
                  <w:iCs/>
                  <w:color w:val="0000FF"/>
                  <w:sz w:val="18"/>
                  <w:szCs w:val="18"/>
                  <w:highlight w:val="white"/>
                  <w:u w:val="single"/>
                </w:rPr>
                <w:t>Health Indicators Warehouse</w:t>
              </w:r>
            </w:hyperlink>
            <w:r w:rsidRPr="00BC3E80">
              <w:rPr>
                <w:rFonts w:ascii="Arial" w:eastAsia="Open Sans" w:hAnsi="Arial" w:cs="Arial"/>
                <w:i/>
                <w:iCs/>
                <w:color w:val="555555"/>
                <w:sz w:val="18"/>
                <w:szCs w:val="18"/>
                <w:highlight w:val="white"/>
              </w:rPr>
              <w:t>. 2006-12. Source geography: County</w:t>
            </w:r>
          </w:p>
        </w:tc>
        <w:tc>
          <w:tcPr>
            <w:tcW w:w="5265" w:type="dxa"/>
            <w:gridSpan w:val="2"/>
          </w:tcPr>
          <w:p w:rsidR="00BC3E80" w:rsidRPr="00BC3E80" w:rsidRDefault="00BC3E80" w:rsidP="00BC3E80">
            <w:pPr>
              <w:spacing w:after="0" w:line="240" w:lineRule="auto"/>
              <w:rPr>
                <w:rFonts w:ascii="Arial" w:eastAsia="Arial" w:hAnsi="Arial" w:cs="Arial"/>
                <w:b/>
                <w:color w:val="000000"/>
                <w:sz w:val="22"/>
                <w:szCs w:val="22"/>
              </w:rPr>
            </w:pPr>
          </w:p>
          <w:p w:rsidR="00BC3E80" w:rsidRPr="00BC3E80" w:rsidRDefault="00BC3E80" w:rsidP="00BC3E80">
            <w:pPr>
              <w:spacing w:after="0" w:line="240" w:lineRule="auto"/>
              <w:jc w:val="center"/>
              <w:rPr>
                <w:rFonts w:ascii="Arial" w:eastAsia="Arial" w:hAnsi="Arial" w:cs="Arial"/>
                <w:color w:val="000000"/>
                <w:sz w:val="22"/>
                <w:szCs w:val="22"/>
              </w:rPr>
            </w:pPr>
            <w:r w:rsidRPr="00BC3E80">
              <w:rPr>
                <w:rFonts w:ascii="Arial" w:eastAsia="Arial" w:hAnsi="Arial" w:cs="Arial"/>
                <w:b/>
                <w:color w:val="000000"/>
                <w:sz w:val="22"/>
                <w:szCs w:val="22"/>
              </w:rPr>
              <w:t xml:space="preserve">Medicare Beneficiaries with Depression </w:t>
            </w:r>
          </w:p>
          <w:p w:rsidR="00BC3E80" w:rsidRPr="00BC3E80" w:rsidRDefault="00BC3E80" w:rsidP="00BC3E80">
            <w:pPr>
              <w:spacing w:after="0" w:line="240" w:lineRule="auto"/>
              <w:ind w:left="-122"/>
              <w:jc w:val="center"/>
              <w:rPr>
                <w:rFonts w:ascii="Arial" w:eastAsia="Arial" w:hAnsi="Arial" w:cs="Arial"/>
                <w:color w:val="000000"/>
                <w:sz w:val="22"/>
                <w:szCs w:val="22"/>
              </w:rPr>
            </w:pPr>
          </w:p>
          <w:p w:rsidR="00BC3E80" w:rsidRPr="00BC3E80" w:rsidRDefault="00BC3E80" w:rsidP="00BC3E80">
            <w:pPr>
              <w:spacing w:after="0" w:line="240" w:lineRule="auto"/>
              <w:rPr>
                <w:rFonts w:ascii="Arial" w:eastAsia="Arial" w:hAnsi="Arial" w:cs="Arial"/>
                <w:sz w:val="20"/>
                <w:szCs w:val="20"/>
                <w:shd w:val="clear" w:color="auto" w:fill="FFFFFF"/>
              </w:rPr>
            </w:pPr>
            <w:r w:rsidRPr="00BC3E80">
              <w:rPr>
                <w:rFonts w:ascii="Arial" w:eastAsia="Arial" w:hAnsi="Arial" w:cs="Arial"/>
                <w:b/>
                <w:noProof/>
                <w:color w:val="000000"/>
                <w:sz w:val="22"/>
                <w:szCs w:val="24"/>
              </w:rPr>
              <w:drawing>
                <wp:inline distT="0" distB="0" distL="0" distR="0" wp14:anchorId="750EEE6B" wp14:editId="58DD68E5">
                  <wp:extent cx="3048000" cy="1714500"/>
                  <wp:effectExtent l="0" t="0" r="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C3E80" w:rsidRPr="00BC3E80" w:rsidRDefault="00BC3E80" w:rsidP="00BC3E80">
            <w:pPr>
              <w:spacing w:after="0" w:line="240" w:lineRule="auto"/>
              <w:rPr>
                <w:rFonts w:ascii="Arial" w:eastAsia="Open Sans" w:hAnsi="Arial" w:cs="Arial"/>
                <w:i/>
                <w:iCs/>
                <w:color w:val="555555"/>
                <w:sz w:val="20"/>
                <w:szCs w:val="20"/>
              </w:rPr>
            </w:pPr>
            <w:r w:rsidRPr="00BC3E80">
              <w:rPr>
                <w:rFonts w:ascii="Arial" w:eastAsia="Arial" w:hAnsi="Arial" w:cs="Arial"/>
                <w:sz w:val="20"/>
                <w:szCs w:val="20"/>
                <w:shd w:val="clear" w:color="auto" w:fill="FFFFFF"/>
              </w:rPr>
              <w:t xml:space="preserve">The percentage of the Medicare fee-for-service population with depression in the </w:t>
            </w:r>
            <w:r w:rsidRPr="00BC3E80">
              <w:rPr>
                <w:rFonts w:ascii="Arial" w:eastAsia="Arial" w:hAnsi="Arial" w:cs="Arial"/>
                <w:color w:val="000000"/>
                <w:sz w:val="20"/>
                <w:szCs w:val="20"/>
              </w:rPr>
              <w:t>KFH-Fontana/Ontario Medical Center Service Area</w:t>
            </w:r>
            <w:r w:rsidRPr="00BC3E80">
              <w:rPr>
                <w:rFonts w:ascii="Arial" w:eastAsia="Arial" w:hAnsi="Arial" w:cs="Arial"/>
                <w:sz w:val="20"/>
                <w:szCs w:val="20"/>
                <w:shd w:val="clear" w:color="auto" w:fill="FFFFFF"/>
              </w:rPr>
              <w:t xml:space="preserve"> is lower than in the S CA MCA. However it is slightly higher than the state for the KFH-Fontana Medical Center Service Area.</w:t>
            </w:r>
          </w:p>
          <w:p w:rsidR="00BC3E80" w:rsidRPr="00BC3E80" w:rsidRDefault="00BC3E80" w:rsidP="00BC3E80">
            <w:pPr>
              <w:spacing w:after="0" w:line="240" w:lineRule="auto"/>
              <w:rPr>
                <w:rFonts w:ascii="Arial" w:eastAsia="Open Sans" w:hAnsi="Arial" w:cs="Arial"/>
                <w:i/>
                <w:iCs/>
                <w:color w:val="555555"/>
                <w:sz w:val="18"/>
                <w:szCs w:val="18"/>
              </w:rPr>
            </w:pPr>
          </w:p>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Open Sans" w:hAnsi="Arial" w:cs="Arial"/>
                <w:i/>
                <w:iCs/>
                <w:color w:val="555555"/>
                <w:sz w:val="18"/>
                <w:szCs w:val="18"/>
              </w:rPr>
              <w:t xml:space="preserve">Source: </w:t>
            </w:r>
            <w:hyperlink r:id="rId38" w:tgtFrame="_blank" w:history="1">
              <w:r w:rsidRPr="00BC3E80">
                <w:rPr>
                  <w:rFonts w:ascii="Arial" w:eastAsia="Open Sans" w:hAnsi="Arial" w:cs="Arial"/>
                  <w:i/>
                  <w:iCs/>
                  <w:color w:val="0000FF"/>
                  <w:sz w:val="18"/>
                  <w:szCs w:val="18"/>
                  <w:u w:val="single"/>
                </w:rPr>
                <w:t>Centers for Medicare and Medicaid Services</w:t>
              </w:r>
            </w:hyperlink>
            <w:r w:rsidRPr="00BC3E80">
              <w:rPr>
                <w:rFonts w:ascii="Arial" w:eastAsia="Open Sans" w:hAnsi="Arial" w:cs="Arial"/>
                <w:i/>
                <w:iCs/>
                <w:color w:val="555555"/>
                <w:sz w:val="18"/>
                <w:szCs w:val="18"/>
              </w:rPr>
              <w:t>. 2012. Source geography: County</w:t>
            </w:r>
          </w:p>
        </w:tc>
      </w:tr>
      <w:tr w:rsidR="00BC3E80" w:rsidRPr="00BC3E80" w:rsidTr="009446CC">
        <w:tblPrEx>
          <w:jc w:val="left"/>
        </w:tblPrEx>
        <w:trPr>
          <w:gridAfter w:val="1"/>
          <w:wAfter w:w="93" w:type="dxa"/>
          <w:trHeight w:val="420"/>
        </w:trPr>
        <w:tc>
          <w:tcPr>
            <w:tcW w:w="10077" w:type="dxa"/>
            <w:gridSpan w:val="7"/>
            <w:shd w:val="clear" w:color="auto" w:fill="006D9D"/>
            <w:tcMar>
              <w:top w:w="57" w:type="dxa"/>
              <w:left w:w="57" w:type="dxa"/>
              <w:bottom w:w="57" w:type="dxa"/>
              <w:right w:w="57" w:type="dxa"/>
            </w:tcMar>
          </w:tcPr>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b/>
                <w:color w:val="FFFFFF"/>
                <w:sz w:val="32"/>
                <w:szCs w:val="32"/>
              </w:rPr>
              <w:t>Health Disparities</w:t>
            </w:r>
          </w:p>
        </w:tc>
      </w:tr>
      <w:tr w:rsidR="00BC3E80" w:rsidRPr="00BC3E80" w:rsidTr="009446CC">
        <w:tblPrEx>
          <w:jc w:val="left"/>
        </w:tblPrEx>
        <w:trPr>
          <w:gridAfter w:val="1"/>
          <w:wAfter w:w="93" w:type="dxa"/>
          <w:trHeight w:val="4840"/>
        </w:trPr>
        <w:tc>
          <w:tcPr>
            <w:tcW w:w="10077" w:type="dxa"/>
            <w:gridSpan w:val="7"/>
            <w:tcMar>
              <w:top w:w="100" w:type="dxa"/>
              <w:left w:w="100" w:type="dxa"/>
              <w:bottom w:w="100" w:type="dxa"/>
              <w:right w:w="100" w:type="dxa"/>
            </w:tcMar>
          </w:tcPr>
          <w:tbl>
            <w:tblPr>
              <w:tblW w:w="10070" w:type="dxa"/>
              <w:tblLayout w:type="fixed"/>
              <w:tblLook w:val="0600" w:firstRow="0" w:lastRow="0" w:firstColumn="0" w:lastColumn="0" w:noHBand="1" w:noVBand="1"/>
            </w:tblPr>
            <w:tblGrid>
              <w:gridCol w:w="885"/>
              <w:gridCol w:w="9185"/>
            </w:tblGrid>
            <w:tr w:rsidR="00BC3E80" w:rsidRPr="00BC3E80" w:rsidTr="009446CC">
              <w:tc>
                <w:tcPr>
                  <w:tcW w:w="885" w:type="dxa"/>
                  <w:tcMar>
                    <w:left w:w="0" w:type="dxa"/>
                    <w:right w:w="0" w:type="dxa"/>
                  </w:tcMar>
                </w:tcPr>
                <w:p w:rsidR="00BC3E80" w:rsidRPr="00BC3E80" w:rsidRDefault="00BC3E80" w:rsidP="00BC3E80">
                  <w:pPr>
                    <w:spacing w:after="0" w:line="240" w:lineRule="auto"/>
                    <w:ind w:left="-15" w:right="-15" w:hanging="15"/>
                    <w:jc w:val="both"/>
                    <w:rPr>
                      <w:rFonts w:ascii="Arial" w:eastAsia="Arial" w:hAnsi="Arial" w:cs="Arial"/>
                      <w:color w:val="000000"/>
                      <w:sz w:val="22"/>
                      <w:szCs w:val="22"/>
                    </w:rPr>
                  </w:pPr>
                  <w:r w:rsidRPr="00BC3E80">
                    <w:rPr>
                      <w:rFonts w:ascii="Arial" w:eastAsia="Arial" w:hAnsi="Arial" w:cs="Arial"/>
                      <w:noProof/>
                      <w:color w:val="000000"/>
                      <w:sz w:val="22"/>
                      <w:szCs w:val="22"/>
                    </w:rPr>
                    <w:drawing>
                      <wp:inline distT="114300" distB="114300" distL="114300" distR="114300" wp14:anchorId="410DF3EE" wp14:editId="4F53CA07">
                        <wp:extent cx="420767" cy="380047"/>
                        <wp:effectExtent l="0" t="0" r="0" b="0"/>
                        <wp:docPr id="11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420767" cy="380047"/>
                                </a:xfrm>
                                <a:prstGeom prst="rect">
                                  <a:avLst/>
                                </a:prstGeom>
                                <a:ln/>
                              </pic:spPr>
                            </pic:pic>
                          </a:graphicData>
                        </a:graphic>
                      </wp:inline>
                    </w:drawing>
                  </w:r>
                </w:p>
              </w:tc>
              <w:tc>
                <w:tcPr>
                  <w:tcW w:w="9185" w:type="dxa"/>
                  <w:tcMar>
                    <w:left w:w="0" w:type="dxa"/>
                    <w:right w:w="0" w:type="dxa"/>
                  </w:tcMar>
                </w:tcPr>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color w:val="000000"/>
                      <w:sz w:val="22"/>
                      <w:szCs w:val="22"/>
                    </w:rPr>
                    <w:t>Non-Hispanic Whites and Native Hawaiian/Pacific Islanders have higher rates of suicide mortality in the KFH-Fontana/Ontario Medical Center Service Areas, for the S CA MCA, and statewide.</w:t>
                  </w:r>
                </w:p>
              </w:tc>
            </w:tr>
            <w:tr w:rsidR="00BC3E80" w:rsidRPr="00BC3E80" w:rsidTr="009446CC">
              <w:trPr>
                <w:trHeight w:val="420"/>
              </w:trPr>
              <w:tc>
                <w:tcPr>
                  <w:tcW w:w="10070" w:type="dxa"/>
                  <w:gridSpan w:val="2"/>
                  <w:tcMar>
                    <w:left w:w="0" w:type="dxa"/>
                    <w:right w:w="0" w:type="dxa"/>
                  </w:tcMar>
                </w:tcPr>
                <w:p w:rsidR="00BC3E80" w:rsidRPr="00BC3E80" w:rsidRDefault="00BC3E80" w:rsidP="00BC3E80">
                  <w:pPr>
                    <w:spacing w:after="0" w:line="240" w:lineRule="auto"/>
                    <w:rPr>
                      <w:rFonts w:ascii="Arial" w:eastAsia="Arial" w:hAnsi="Arial" w:cs="Arial"/>
                      <w:color w:val="000000"/>
                      <w:sz w:val="22"/>
                      <w:szCs w:val="22"/>
                    </w:rPr>
                  </w:pPr>
                </w:p>
                <w:p w:rsidR="00BC3E80" w:rsidRPr="00BC3E80" w:rsidRDefault="00BC3E80" w:rsidP="00BC3E80">
                  <w:pPr>
                    <w:spacing w:after="0" w:line="240" w:lineRule="auto"/>
                    <w:jc w:val="center"/>
                    <w:rPr>
                      <w:rFonts w:ascii="Arial" w:eastAsia="Arial" w:hAnsi="Arial" w:cs="Arial"/>
                      <w:b/>
                      <w:color w:val="000000"/>
                      <w:sz w:val="22"/>
                      <w:szCs w:val="22"/>
                    </w:rPr>
                  </w:pPr>
                  <w:r w:rsidRPr="00BC3E80">
                    <w:rPr>
                      <w:rFonts w:ascii="Arial" w:eastAsia="Arial" w:hAnsi="Arial" w:cs="Arial"/>
                      <w:b/>
                      <w:color w:val="000000"/>
                      <w:sz w:val="22"/>
                      <w:szCs w:val="22"/>
                    </w:rPr>
                    <w:t>Suicide Mortality, Age-Adjusted Rate (Per 100,000 Population) by Race/Ethnicity</w:t>
                  </w:r>
                </w:p>
                <w:tbl>
                  <w:tblPr>
                    <w:tblStyle w:val="LightList14"/>
                    <w:tblW w:w="0" w:type="auto"/>
                    <w:tblLayout w:type="fixed"/>
                    <w:tblLook w:val="04A0" w:firstRow="1" w:lastRow="0" w:firstColumn="1" w:lastColumn="0" w:noHBand="0" w:noVBand="1"/>
                  </w:tblPr>
                  <w:tblGrid>
                    <w:gridCol w:w="1573"/>
                    <w:gridCol w:w="1150"/>
                    <w:gridCol w:w="1150"/>
                    <w:gridCol w:w="1057"/>
                    <w:gridCol w:w="1244"/>
                    <w:gridCol w:w="1186"/>
                    <w:gridCol w:w="1114"/>
                    <w:gridCol w:w="1151"/>
                  </w:tblGrid>
                  <w:tr w:rsidR="00BC3E80" w:rsidRPr="00BC3E80" w:rsidTr="009446CC">
                    <w:trPr>
                      <w:cnfStyle w:val="100000000000" w:firstRow="1" w:lastRow="0" w:firstColumn="0" w:lastColumn="0" w:oddVBand="0" w:evenVBand="0" w:oddHBand="0"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1573" w:type="dxa"/>
                      </w:tcPr>
                      <w:p w:rsidR="00BC3E80" w:rsidRPr="00BC3E80" w:rsidRDefault="00BC3E80" w:rsidP="00BC3E80">
                        <w:pPr>
                          <w:widowControl/>
                          <w:spacing w:after="0" w:line="240" w:lineRule="auto"/>
                          <w:rPr>
                            <w:rFonts w:ascii="Arial" w:hAnsi="Arial" w:cs="Arial"/>
                            <w:sz w:val="22"/>
                            <w:szCs w:val="22"/>
                          </w:rPr>
                        </w:pPr>
                      </w:p>
                    </w:tc>
                    <w:tc>
                      <w:tcPr>
                        <w:tcW w:w="1150" w:type="dxa"/>
                        <w:vAlign w:val="center"/>
                      </w:tcPr>
                      <w:p w:rsidR="00BC3E80" w:rsidRPr="00BC3E80" w:rsidRDefault="00BC3E80" w:rsidP="00BC3E8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Non-Hispanic White</w:t>
                        </w:r>
                      </w:p>
                    </w:tc>
                    <w:tc>
                      <w:tcPr>
                        <w:tcW w:w="1150" w:type="dxa"/>
                        <w:vAlign w:val="center"/>
                      </w:tcPr>
                      <w:p w:rsidR="00BC3E80" w:rsidRPr="00BC3E80" w:rsidRDefault="00BC3E80" w:rsidP="00BC3E8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Black</w:t>
                        </w:r>
                      </w:p>
                    </w:tc>
                    <w:tc>
                      <w:tcPr>
                        <w:tcW w:w="1057" w:type="dxa"/>
                        <w:vAlign w:val="center"/>
                      </w:tcPr>
                      <w:p w:rsidR="00BC3E80" w:rsidRPr="00BC3E80" w:rsidRDefault="00BC3E80" w:rsidP="00BC3E8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Asian</w:t>
                        </w:r>
                      </w:p>
                    </w:tc>
                    <w:tc>
                      <w:tcPr>
                        <w:tcW w:w="1244" w:type="dxa"/>
                        <w:vAlign w:val="center"/>
                      </w:tcPr>
                      <w:p w:rsidR="00BC3E80" w:rsidRPr="00BC3E80" w:rsidRDefault="00BC3E80" w:rsidP="00BC3E8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Native American /Alaskan Native</w:t>
                        </w:r>
                      </w:p>
                    </w:tc>
                    <w:tc>
                      <w:tcPr>
                        <w:tcW w:w="1186" w:type="dxa"/>
                        <w:vAlign w:val="center"/>
                      </w:tcPr>
                      <w:p w:rsidR="00BC3E80" w:rsidRPr="00BC3E80" w:rsidRDefault="00BC3E80" w:rsidP="00BC3E8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Native Hawaiian /Pacific Islander</w:t>
                        </w:r>
                      </w:p>
                    </w:tc>
                    <w:tc>
                      <w:tcPr>
                        <w:tcW w:w="1114" w:type="dxa"/>
                        <w:vAlign w:val="center"/>
                      </w:tcPr>
                      <w:p w:rsidR="00BC3E80" w:rsidRPr="00BC3E80" w:rsidRDefault="00BC3E80" w:rsidP="00BC3E8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Multiple Race</w:t>
                        </w:r>
                      </w:p>
                    </w:tc>
                    <w:tc>
                      <w:tcPr>
                        <w:tcW w:w="1151" w:type="dxa"/>
                        <w:vAlign w:val="center"/>
                      </w:tcPr>
                      <w:p w:rsidR="00BC3E80" w:rsidRPr="00BC3E80" w:rsidRDefault="00BC3E80" w:rsidP="00BC3E80">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Hispanic or Latino</w:t>
                        </w:r>
                      </w:p>
                    </w:tc>
                  </w:tr>
                  <w:tr w:rsidR="00BC3E80" w:rsidRPr="00BC3E80" w:rsidTr="009446CC">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573" w:type="dxa"/>
                      </w:tcPr>
                      <w:p w:rsidR="00BC3E80" w:rsidRPr="00BC3E80" w:rsidRDefault="00BC3E80" w:rsidP="00BC3E80">
                        <w:pPr>
                          <w:widowControl/>
                          <w:spacing w:after="0" w:line="240" w:lineRule="auto"/>
                          <w:rPr>
                            <w:rFonts w:ascii="Arial" w:hAnsi="Arial" w:cs="Arial"/>
                            <w:sz w:val="22"/>
                            <w:szCs w:val="22"/>
                          </w:rPr>
                        </w:pPr>
                        <w:r w:rsidRPr="00BC3E80">
                          <w:rPr>
                            <w:rFonts w:ascii="Arial" w:hAnsi="Arial" w:cs="Arial"/>
                            <w:sz w:val="22"/>
                            <w:szCs w:val="22"/>
                          </w:rPr>
                          <w:t>KFH-Fontana MCSA</w:t>
                        </w:r>
                      </w:p>
                    </w:tc>
                    <w:tc>
                      <w:tcPr>
                        <w:tcW w:w="1150" w:type="dxa"/>
                        <w:vAlign w:val="center"/>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BC3E80">
                          <w:rPr>
                            <w:rFonts w:ascii="Arial" w:hAnsi="Arial" w:cs="Arial"/>
                            <w:color w:val="FF0000"/>
                            <w:sz w:val="22"/>
                            <w:szCs w:val="22"/>
                          </w:rPr>
                          <w:t>17.6</w:t>
                        </w:r>
                      </w:p>
                    </w:tc>
                    <w:tc>
                      <w:tcPr>
                        <w:tcW w:w="1150" w:type="dxa"/>
                        <w:vAlign w:val="center"/>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C3E80">
                          <w:rPr>
                            <w:rFonts w:ascii="Arial" w:hAnsi="Arial" w:cs="Arial"/>
                            <w:sz w:val="22"/>
                            <w:szCs w:val="22"/>
                          </w:rPr>
                          <w:t>6.5</w:t>
                        </w:r>
                      </w:p>
                    </w:tc>
                    <w:tc>
                      <w:tcPr>
                        <w:tcW w:w="1057" w:type="dxa"/>
                        <w:vAlign w:val="center"/>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C3E80">
                          <w:rPr>
                            <w:rFonts w:ascii="Arial" w:hAnsi="Arial" w:cs="Arial"/>
                            <w:sz w:val="22"/>
                            <w:szCs w:val="22"/>
                          </w:rPr>
                          <w:t>5.3</w:t>
                        </w:r>
                      </w:p>
                    </w:tc>
                    <w:tc>
                      <w:tcPr>
                        <w:tcW w:w="1244" w:type="dxa"/>
                        <w:vAlign w:val="center"/>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C3E80">
                          <w:rPr>
                            <w:rFonts w:ascii="Arial" w:hAnsi="Arial" w:cs="Arial"/>
                            <w:sz w:val="22"/>
                            <w:szCs w:val="22"/>
                          </w:rPr>
                          <w:t>4.8</w:t>
                        </w:r>
                      </w:p>
                    </w:tc>
                    <w:tc>
                      <w:tcPr>
                        <w:tcW w:w="1186" w:type="dxa"/>
                        <w:vAlign w:val="center"/>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BC3E80">
                          <w:rPr>
                            <w:rFonts w:ascii="Arial" w:hAnsi="Arial" w:cs="Arial"/>
                            <w:color w:val="FF0000"/>
                            <w:sz w:val="22"/>
                            <w:szCs w:val="22"/>
                          </w:rPr>
                          <w:t>11.9</w:t>
                        </w:r>
                      </w:p>
                    </w:tc>
                    <w:tc>
                      <w:tcPr>
                        <w:tcW w:w="1114" w:type="dxa"/>
                        <w:vAlign w:val="center"/>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C3E80">
                          <w:rPr>
                            <w:rFonts w:ascii="Arial" w:hAnsi="Arial" w:cs="Arial"/>
                            <w:sz w:val="22"/>
                            <w:szCs w:val="22"/>
                          </w:rPr>
                          <w:t>5.7</w:t>
                        </w:r>
                      </w:p>
                    </w:tc>
                    <w:tc>
                      <w:tcPr>
                        <w:tcW w:w="1151" w:type="dxa"/>
                        <w:vAlign w:val="center"/>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C3E80">
                          <w:rPr>
                            <w:rFonts w:ascii="Arial" w:hAnsi="Arial" w:cs="Arial"/>
                            <w:sz w:val="22"/>
                            <w:szCs w:val="22"/>
                          </w:rPr>
                          <w:t>4.9</w:t>
                        </w:r>
                      </w:p>
                    </w:tc>
                  </w:tr>
                  <w:tr w:rsidR="00BC3E80" w:rsidRPr="00BC3E80" w:rsidTr="009446CC">
                    <w:trPr>
                      <w:trHeight w:val="478"/>
                    </w:trPr>
                    <w:tc>
                      <w:tcPr>
                        <w:cnfStyle w:val="001000000000" w:firstRow="0" w:lastRow="0" w:firstColumn="1" w:lastColumn="0" w:oddVBand="0" w:evenVBand="0" w:oddHBand="0" w:evenHBand="0" w:firstRowFirstColumn="0" w:firstRowLastColumn="0" w:lastRowFirstColumn="0" w:lastRowLastColumn="0"/>
                        <w:tcW w:w="1573" w:type="dxa"/>
                      </w:tcPr>
                      <w:p w:rsidR="00BC3E80" w:rsidRPr="00BC3E80" w:rsidRDefault="00BC3E80" w:rsidP="00BC3E80">
                        <w:pPr>
                          <w:widowControl/>
                          <w:spacing w:after="0" w:line="240" w:lineRule="auto"/>
                          <w:rPr>
                            <w:rFonts w:ascii="Arial" w:hAnsi="Arial" w:cs="Arial"/>
                            <w:sz w:val="22"/>
                            <w:szCs w:val="22"/>
                          </w:rPr>
                        </w:pPr>
                        <w:r w:rsidRPr="00BC3E80">
                          <w:rPr>
                            <w:rFonts w:ascii="Arial" w:hAnsi="Arial" w:cs="Arial"/>
                            <w:sz w:val="22"/>
                            <w:szCs w:val="22"/>
                          </w:rPr>
                          <w:t>KFH-Ontario MCSA</w:t>
                        </w:r>
                      </w:p>
                    </w:tc>
                    <w:tc>
                      <w:tcPr>
                        <w:tcW w:w="1150" w:type="dxa"/>
                        <w:vAlign w:val="center"/>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BC3E80">
                          <w:rPr>
                            <w:rFonts w:ascii="Arial" w:hAnsi="Arial" w:cs="Arial"/>
                            <w:color w:val="FF0000"/>
                            <w:sz w:val="22"/>
                            <w:szCs w:val="22"/>
                          </w:rPr>
                          <w:t>16.7</w:t>
                        </w:r>
                      </w:p>
                    </w:tc>
                    <w:tc>
                      <w:tcPr>
                        <w:tcW w:w="1150" w:type="dxa"/>
                        <w:vAlign w:val="center"/>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6.4</w:t>
                        </w:r>
                      </w:p>
                    </w:tc>
                    <w:tc>
                      <w:tcPr>
                        <w:tcW w:w="1057" w:type="dxa"/>
                        <w:vAlign w:val="center"/>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4.9</w:t>
                        </w:r>
                      </w:p>
                    </w:tc>
                    <w:tc>
                      <w:tcPr>
                        <w:tcW w:w="1244" w:type="dxa"/>
                        <w:vAlign w:val="center"/>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5.2</w:t>
                        </w:r>
                      </w:p>
                    </w:tc>
                    <w:tc>
                      <w:tcPr>
                        <w:tcW w:w="1186" w:type="dxa"/>
                        <w:vAlign w:val="center"/>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BC3E80">
                          <w:rPr>
                            <w:rFonts w:ascii="Arial" w:hAnsi="Arial" w:cs="Arial"/>
                            <w:color w:val="FF0000"/>
                            <w:sz w:val="22"/>
                            <w:szCs w:val="22"/>
                          </w:rPr>
                          <w:t>11.0</w:t>
                        </w:r>
                      </w:p>
                    </w:tc>
                    <w:tc>
                      <w:tcPr>
                        <w:tcW w:w="1114" w:type="dxa"/>
                        <w:vAlign w:val="center"/>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5.4</w:t>
                        </w:r>
                      </w:p>
                    </w:tc>
                    <w:tc>
                      <w:tcPr>
                        <w:tcW w:w="1151" w:type="dxa"/>
                        <w:vAlign w:val="center"/>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4.6</w:t>
                        </w:r>
                      </w:p>
                    </w:tc>
                  </w:tr>
                  <w:tr w:rsidR="00BC3E80" w:rsidRPr="00BC3E80" w:rsidTr="009446C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73" w:type="dxa"/>
                      </w:tcPr>
                      <w:p w:rsidR="00BC3E80" w:rsidRPr="00BC3E80" w:rsidRDefault="00BC3E80" w:rsidP="00BC3E80">
                        <w:pPr>
                          <w:widowControl/>
                          <w:spacing w:after="0" w:line="240" w:lineRule="auto"/>
                          <w:rPr>
                            <w:rFonts w:ascii="Arial" w:hAnsi="Arial" w:cs="Arial"/>
                            <w:sz w:val="22"/>
                            <w:szCs w:val="22"/>
                          </w:rPr>
                        </w:pPr>
                        <w:r w:rsidRPr="00BC3E80">
                          <w:rPr>
                            <w:rFonts w:ascii="Arial" w:eastAsia="Calibri" w:hAnsi="Arial" w:cs="Arial"/>
                            <w:sz w:val="22"/>
                            <w:szCs w:val="22"/>
                          </w:rPr>
                          <w:t>S CA MCA</w:t>
                        </w:r>
                      </w:p>
                    </w:tc>
                    <w:tc>
                      <w:tcPr>
                        <w:tcW w:w="1150" w:type="dxa"/>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C3E80">
                          <w:rPr>
                            <w:rFonts w:ascii="Arial" w:hAnsi="Arial" w:cs="Arial"/>
                            <w:sz w:val="22"/>
                            <w:szCs w:val="22"/>
                          </w:rPr>
                          <w:t>14.2</w:t>
                        </w:r>
                      </w:p>
                    </w:tc>
                    <w:tc>
                      <w:tcPr>
                        <w:tcW w:w="1150" w:type="dxa"/>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C3E80">
                          <w:rPr>
                            <w:rFonts w:ascii="Arial" w:hAnsi="Arial" w:cs="Arial"/>
                            <w:sz w:val="22"/>
                            <w:szCs w:val="22"/>
                          </w:rPr>
                          <w:t>6.4</w:t>
                        </w:r>
                      </w:p>
                    </w:tc>
                    <w:tc>
                      <w:tcPr>
                        <w:tcW w:w="1057" w:type="dxa"/>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C3E80">
                          <w:rPr>
                            <w:rFonts w:ascii="Arial" w:hAnsi="Arial" w:cs="Arial"/>
                            <w:sz w:val="22"/>
                            <w:szCs w:val="22"/>
                          </w:rPr>
                          <w:t>6.1</w:t>
                        </w:r>
                      </w:p>
                    </w:tc>
                    <w:tc>
                      <w:tcPr>
                        <w:tcW w:w="1244" w:type="dxa"/>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C3E80">
                          <w:rPr>
                            <w:rFonts w:ascii="Arial" w:hAnsi="Arial" w:cs="Arial"/>
                            <w:sz w:val="22"/>
                            <w:szCs w:val="22"/>
                          </w:rPr>
                          <w:t>5.7</w:t>
                        </w:r>
                      </w:p>
                    </w:tc>
                    <w:tc>
                      <w:tcPr>
                        <w:tcW w:w="1186" w:type="dxa"/>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C3E80">
                          <w:rPr>
                            <w:rFonts w:ascii="Arial" w:hAnsi="Arial" w:cs="Arial"/>
                            <w:sz w:val="22"/>
                            <w:szCs w:val="22"/>
                          </w:rPr>
                          <w:t>9.2</w:t>
                        </w:r>
                      </w:p>
                    </w:tc>
                    <w:tc>
                      <w:tcPr>
                        <w:tcW w:w="1114" w:type="dxa"/>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C3E80">
                          <w:rPr>
                            <w:rFonts w:ascii="Arial" w:hAnsi="Arial" w:cs="Arial"/>
                            <w:sz w:val="22"/>
                            <w:szCs w:val="22"/>
                          </w:rPr>
                          <w:t>4.5</w:t>
                        </w:r>
                      </w:p>
                    </w:tc>
                    <w:tc>
                      <w:tcPr>
                        <w:tcW w:w="1151" w:type="dxa"/>
                      </w:tcPr>
                      <w:p w:rsidR="00BC3E80" w:rsidRPr="00BC3E80" w:rsidRDefault="00BC3E80" w:rsidP="00BC3E80">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BC3E80">
                          <w:rPr>
                            <w:rFonts w:ascii="Arial" w:hAnsi="Arial" w:cs="Arial"/>
                            <w:sz w:val="22"/>
                            <w:szCs w:val="22"/>
                          </w:rPr>
                          <w:t>3.7</w:t>
                        </w:r>
                      </w:p>
                    </w:tc>
                  </w:tr>
                  <w:tr w:rsidR="00BC3E80" w:rsidRPr="00BC3E80" w:rsidTr="009446CC">
                    <w:trPr>
                      <w:trHeight w:val="251"/>
                    </w:trPr>
                    <w:tc>
                      <w:tcPr>
                        <w:cnfStyle w:val="001000000000" w:firstRow="0" w:lastRow="0" w:firstColumn="1" w:lastColumn="0" w:oddVBand="0" w:evenVBand="0" w:oddHBand="0" w:evenHBand="0" w:firstRowFirstColumn="0" w:firstRowLastColumn="0" w:lastRowFirstColumn="0" w:lastRowLastColumn="0"/>
                        <w:tcW w:w="1573" w:type="dxa"/>
                      </w:tcPr>
                      <w:p w:rsidR="00BC3E80" w:rsidRPr="00BC3E80" w:rsidRDefault="00BC3E80" w:rsidP="00BC3E80">
                        <w:pPr>
                          <w:widowControl/>
                          <w:spacing w:after="0" w:line="240" w:lineRule="auto"/>
                          <w:rPr>
                            <w:rFonts w:ascii="Arial" w:hAnsi="Arial" w:cs="Arial"/>
                            <w:sz w:val="22"/>
                            <w:szCs w:val="22"/>
                          </w:rPr>
                        </w:pPr>
                        <w:r w:rsidRPr="00BC3E80">
                          <w:rPr>
                            <w:rFonts w:ascii="Arial" w:hAnsi="Arial" w:cs="Arial"/>
                            <w:sz w:val="22"/>
                            <w:szCs w:val="22"/>
                          </w:rPr>
                          <w:t>California</w:t>
                        </w:r>
                      </w:p>
                    </w:tc>
                    <w:tc>
                      <w:tcPr>
                        <w:tcW w:w="1150" w:type="dxa"/>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14.8</w:t>
                        </w:r>
                      </w:p>
                    </w:tc>
                    <w:tc>
                      <w:tcPr>
                        <w:tcW w:w="1150" w:type="dxa"/>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6.4</w:t>
                        </w:r>
                      </w:p>
                    </w:tc>
                    <w:tc>
                      <w:tcPr>
                        <w:tcW w:w="1057" w:type="dxa"/>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6.8</w:t>
                        </w:r>
                      </w:p>
                    </w:tc>
                    <w:tc>
                      <w:tcPr>
                        <w:tcW w:w="1244" w:type="dxa"/>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5.9</w:t>
                        </w:r>
                      </w:p>
                    </w:tc>
                    <w:tc>
                      <w:tcPr>
                        <w:tcW w:w="1186" w:type="dxa"/>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9.7</w:t>
                        </w:r>
                      </w:p>
                    </w:tc>
                    <w:tc>
                      <w:tcPr>
                        <w:tcW w:w="1114" w:type="dxa"/>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5.8</w:t>
                        </w:r>
                      </w:p>
                    </w:tc>
                    <w:tc>
                      <w:tcPr>
                        <w:tcW w:w="1151" w:type="dxa"/>
                      </w:tcPr>
                      <w:p w:rsidR="00BC3E80" w:rsidRPr="00BC3E80" w:rsidRDefault="00BC3E80" w:rsidP="00BC3E80">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C3E80">
                          <w:rPr>
                            <w:rFonts w:ascii="Arial" w:hAnsi="Arial" w:cs="Arial"/>
                            <w:sz w:val="22"/>
                            <w:szCs w:val="22"/>
                          </w:rPr>
                          <w:t>4.0</w:t>
                        </w:r>
                      </w:p>
                    </w:tc>
                  </w:tr>
                </w:tbl>
                <w:p w:rsidR="00BC3E80" w:rsidRPr="00BC3E80" w:rsidRDefault="00BC3E80" w:rsidP="00BC3E80">
                  <w:pPr>
                    <w:spacing w:after="0" w:line="240" w:lineRule="auto"/>
                    <w:rPr>
                      <w:rFonts w:ascii="Arial" w:eastAsia="Arial" w:hAnsi="Arial" w:cs="Arial"/>
                      <w:i/>
                      <w:color w:val="737373"/>
                      <w:sz w:val="18"/>
                      <w:szCs w:val="18"/>
                    </w:rPr>
                  </w:pPr>
                  <w:r w:rsidRPr="00BC3E80">
                    <w:rPr>
                      <w:rFonts w:ascii="Arial" w:eastAsia="Arial" w:hAnsi="Arial" w:cs="Arial"/>
                      <w:i/>
                      <w:color w:val="737373"/>
                      <w:sz w:val="18"/>
                      <w:szCs w:val="18"/>
                      <w:highlight w:val="white"/>
                    </w:rPr>
                    <w:t xml:space="preserve">Source: </w:t>
                  </w:r>
                  <w:r w:rsidRPr="00BC3E80">
                    <w:rPr>
                      <w:rFonts w:ascii="Arial" w:eastAsia="Arial" w:hAnsi="Arial" w:cs="Arial"/>
                      <w:i/>
                      <w:color w:val="737373"/>
                      <w:sz w:val="18"/>
                      <w:szCs w:val="18"/>
                    </w:rPr>
                    <w:t>University of Missouri, Center for Applied Research and Environmental Systems. California Department of Public Health, CDPH - Death Public Use Data. 2010-12. Source geography: ZIP Code</w:t>
                  </w:r>
                </w:p>
                <w:p w:rsidR="00BC3E80" w:rsidRPr="00BC3E80" w:rsidRDefault="00BC3E80" w:rsidP="00BC3E80">
                  <w:pPr>
                    <w:spacing w:after="0" w:line="240" w:lineRule="auto"/>
                    <w:rPr>
                      <w:rFonts w:ascii="Arial" w:eastAsia="Arial" w:hAnsi="Arial" w:cs="Arial"/>
                      <w:color w:val="000000"/>
                      <w:sz w:val="22"/>
                      <w:szCs w:val="22"/>
                    </w:rPr>
                  </w:pPr>
                </w:p>
              </w:tc>
            </w:tr>
          </w:tbl>
          <w:p w:rsidR="00BC3E80" w:rsidRPr="00BC3E80" w:rsidRDefault="00BC3E80" w:rsidP="00BC3E80">
            <w:pPr>
              <w:spacing w:after="0" w:line="240" w:lineRule="auto"/>
              <w:rPr>
                <w:rFonts w:ascii="Arial" w:eastAsia="Arial" w:hAnsi="Arial" w:cs="Arial"/>
                <w:color w:val="737373"/>
                <w:sz w:val="22"/>
                <w:szCs w:val="22"/>
              </w:rPr>
            </w:pPr>
          </w:p>
        </w:tc>
      </w:tr>
      <w:tr w:rsidR="00BC3E80" w:rsidRPr="00BC3E80" w:rsidTr="009446CC">
        <w:tblPrEx>
          <w:jc w:val="left"/>
        </w:tblPrEx>
        <w:trPr>
          <w:gridAfter w:val="1"/>
          <w:wAfter w:w="93" w:type="dxa"/>
          <w:trHeight w:val="5326"/>
        </w:trPr>
        <w:tc>
          <w:tcPr>
            <w:tcW w:w="10077" w:type="dxa"/>
            <w:gridSpan w:val="7"/>
            <w:shd w:val="clear" w:color="auto" w:fill="D9D9D9" w:themeFill="background1" w:themeFillShade="D9"/>
            <w:tcMar>
              <w:top w:w="100" w:type="dxa"/>
              <w:left w:w="100" w:type="dxa"/>
              <w:bottom w:w="100" w:type="dxa"/>
              <w:right w:w="100" w:type="dxa"/>
            </w:tcMar>
          </w:tcPr>
          <w:p w:rsidR="00BC3E80" w:rsidRPr="00BC3E80" w:rsidRDefault="00BC3E80" w:rsidP="00BC3E80">
            <w:pPr>
              <w:spacing w:after="0" w:line="240" w:lineRule="auto"/>
              <w:rPr>
                <w:rFonts w:ascii="Arial" w:eastAsia="Arial" w:hAnsi="Arial" w:cs="Arial"/>
                <w:b/>
                <w:color w:val="000000"/>
                <w:sz w:val="22"/>
                <w:szCs w:val="22"/>
              </w:rPr>
            </w:pPr>
            <w:r w:rsidRPr="00BC3E80">
              <w:rPr>
                <w:rFonts w:ascii="Arial" w:eastAsia="Arial" w:hAnsi="Arial" w:cs="Arial"/>
                <w:b/>
                <w:color w:val="000000"/>
                <w:sz w:val="22"/>
                <w:szCs w:val="22"/>
              </w:rPr>
              <w:t>Community Description of Disparities</w:t>
            </w:r>
          </w:p>
          <w:p w:rsidR="00BC3E80" w:rsidRPr="00BC3E80" w:rsidRDefault="00BC3E80" w:rsidP="00BC3E80">
            <w:pPr>
              <w:spacing w:after="0" w:line="240" w:lineRule="auto"/>
              <w:rPr>
                <w:rFonts w:ascii="Arial" w:eastAsia="Arial" w:hAnsi="Arial" w:cs="Arial"/>
                <w:color w:val="000000"/>
                <w:sz w:val="22"/>
                <w:szCs w:val="22"/>
              </w:rPr>
            </w:pPr>
          </w:p>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color w:val="000000"/>
                <w:sz w:val="22"/>
                <w:szCs w:val="22"/>
              </w:rPr>
              <w:t xml:space="preserve">Community members reported that mental illness impacts the </w:t>
            </w:r>
            <w:r w:rsidRPr="00BC3E80">
              <w:rPr>
                <w:rFonts w:ascii="Arial" w:eastAsia="Arial" w:hAnsi="Arial" w:cs="Arial"/>
                <w:b/>
                <w:color w:val="000000"/>
                <w:sz w:val="22"/>
                <w:szCs w:val="22"/>
              </w:rPr>
              <w:t>homeless, veterans and people of color</w:t>
            </w:r>
            <w:r w:rsidRPr="00BC3E80">
              <w:rPr>
                <w:rFonts w:ascii="Arial" w:eastAsia="Arial" w:hAnsi="Arial" w:cs="Arial"/>
                <w:color w:val="000000"/>
                <w:sz w:val="22"/>
                <w:szCs w:val="22"/>
              </w:rPr>
              <w:t xml:space="preserve"> disproportionately more than members of other groups. They note the findings of a recent comprehensive report that examined disparities in the prevalence of mental health problems and barriers to accessing services among Blacks in California as being highly relevant (Woods et al., 2012). Via focus groups and interviews with a wide variety of stakeholders (including mental health professionals, clients, family members of clients, leaders from the faith-based community, and scholars) four primary areas of disparity were identified. This included: Stress, perceived discrimination, insurance coverage, financial resources, communication, racism, stigma, and lack of African American providers.</w:t>
            </w:r>
          </w:p>
          <w:p w:rsidR="00BC3E80" w:rsidRPr="00BC3E80" w:rsidRDefault="00BC3E80" w:rsidP="00BC3E80">
            <w:pPr>
              <w:spacing w:after="0" w:line="240" w:lineRule="auto"/>
              <w:rPr>
                <w:rFonts w:ascii="Arial" w:eastAsia="Arial" w:hAnsi="Arial" w:cs="Arial"/>
                <w:color w:val="000000"/>
                <w:sz w:val="22"/>
                <w:szCs w:val="22"/>
              </w:rPr>
            </w:pPr>
          </w:p>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color w:val="000000"/>
                <w:sz w:val="22"/>
                <w:szCs w:val="22"/>
              </w:rPr>
              <w:t xml:space="preserve">Mental health professionals pointed to the links between poverty, stress and mental health as being an important determinate in the prevalence of mental health issues in the KFH-Fontana/Ontario Medical Center Service Areas. Low educational attainment, high rates of un- and under-employment lead to poverty and subsequent stress. </w:t>
            </w:r>
          </w:p>
          <w:p w:rsidR="00BC3E80" w:rsidRPr="00BC3E80" w:rsidRDefault="00BC3E80" w:rsidP="00BC3E80">
            <w:pPr>
              <w:spacing w:after="0" w:line="240" w:lineRule="auto"/>
              <w:rPr>
                <w:rFonts w:ascii="Arial" w:eastAsia="Arial" w:hAnsi="Arial" w:cs="Arial"/>
                <w:color w:val="000000"/>
                <w:sz w:val="22"/>
                <w:szCs w:val="22"/>
              </w:rPr>
            </w:pPr>
          </w:p>
          <w:p w:rsidR="00BC3E80" w:rsidRPr="00BC3E80" w:rsidRDefault="00BC3E80" w:rsidP="00BC3E80">
            <w:pPr>
              <w:widowControl/>
              <w:numPr>
                <w:ilvl w:val="0"/>
                <w:numId w:val="41"/>
              </w:numPr>
              <w:spacing w:after="0" w:line="240" w:lineRule="auto"/>
              <w:rPr>
                <w:rFonts w:ascii="Arial" w:eastAsia="Arial" w:hAnsi="Arial" w:cs="Arial"/>
                <w:color w:val="000000"/>
                <w:sz w:val="22"/>
                <w:szCs w:val="22"/>
              </w:rPr>
            </w:pPr>
            <w:r w:rsidRPr="00BC3E80">
              <w:rPr>
                <w:rFonts w:ascii="Arial" w:eastAsia="Arial" w:hAnsi="Arial" w:cs="Arial"/>
                <w:color w:val="000000"/>
                <w:sz w:val="22"/>
                <w:szCs w:val="22"/>
              </w:rPr>
              <w:t>“Because sometimes that culture of poverty leaves people with such levels of despair that they can’t see anything different than they already have.” ~Interviewee</w:t>
            </w:r>
          </w:p>
          <w:p w:rsidR="00BC3E80" w:rsidRPr="00BC3E80" w:rsidRDefault="00BC3E80" w:rsidP="00BC3E80">
            <w:pPr>
              <w:spacing w:after="0" w:line="240" w:lineRule="auto"/>
              <w:rPr>
                <w:rFonts w:ascii="Arial" w:eastAsia="Arial" w:hAnsi="Arial" w:cs="Arial"/>
                <w:color w:val="000000"/>
                <w:sz w:val="22"/>
                <w:szCs w:val="22"/>
              </w:rPr>
            </w:pPr>
          </w:p>
          <w:p w:rsidR="00BC3E80" w:rsidRPr="00BC3E80" w:rsidRDefault="00BC3E80" w:rsidP="00BC3E80">
            <w:pPr>
              <w:spacing w:after="0" w:line="240" w:lineRule="auto"/>
              <w:rPr>
                <w:rFonts w:ascii="Arial" w:eastAsia="Arial" w:hAnsi="Arial" w:cs="Arial"/>
                <w:color w:val="737373"/>
                <w:sz w:val="18"/>
                <w:szCs w:val="18"/>
              </w:rPr>
            </w:pPr>
            <w:r w:rsidRPr="00BC3E80">
              <w:rPr>
                <w:rFonts w:ascii="Arial" w:eastAsia="Arial" w:hAnsi="Arial" w:cs="Arial"/>
                <w:color w:val="737373"/>
                <w:sz w:val="18"/>
                <w:szCs w:val="18"/>
              </w:rPr>
              <w:t>Woods, V.D., King, N.J., Hanna, S.M., &amp; Murray C. (2012). We Ain’t Crazy, Just Coping With A Crazy System: Pathways Into The Black Population For Eliminating Mental Health Disparities. California Reducing Disparities Project</w:t>
            </w:r>
          </w:p>
          <w:p w:rsidR="00BC3E80" w:rsidRPr="00BC3E80" w:rsidRDefault="00BC3E80" w:rsidP="00BC3E80">
            <w:pPr>
              <w:spacing w:after="0" w:line="240" w:lineRule="auto"/>
              <w:rPr>
                <w:rFonts w:ascii="Arial" w:eastAsia="Arial" w:hAnsi="Arial" w:cs="Arial"/>
                <w:color w:val="737373"/>
                <w:sz w:val="18"/>
                <w:szCs w:val="18"/>
              </w:rPr>
            </w:pPr>
          </w:p>
          <w:p w:rsidR="00BC3E80" w:rsidRPr="00BC3E80" w:rsidRDefault="00BC3E80" w:rsidP="00BC3E80">
            <w:pPr>
              <w:spacing w:after="0" w:line="240" w:lineRule="auto"/>
              <w:rPr>
                <w:rFonts w:ascii="Arial" w:eastAsia="Arial" w:hAnsi="Arial" w:cs="Arial"/>
                <w:color w:val="737373"/>
                <w:sz w:val="18"/>
                <w:szCs w:val="18"/>
              </w:rPr>
            </w:pPr>
          </w:p>
          <w:p w:rsidR="00BC3E80" w:rsidRPr="00BC3E80" w:rsidRDefault="00BC3E80" w:rsidP="00BC3E80">
            <w:pPr>
              <w:spacing w:after="0" w:line="240" w:lineRule="auto"/>
              <w:rPr>
                <w:rFonts w:ascii="Arial" w:eastAsia="Arial" w:hAnsi="Arial" w:cs="Arial"/>
                <w:color w:val="737373"/>
                <w:sz w:val="18"/>
                <w:szCs w:val="18"/>
              </w:rPr>
            </w:pPr>
          </w:p>
          <w:p w:rsidR="00BC3E80" w:rsidRPr="00BC3E80" w:rsidRDefault="00BC3E80" w:rsidP="00BC3E80">
            <w:pPr>
              <w:spacing w:after="0" w:line="240" w:lineRule="auto"/>
              <w:rPr>
                <w:rFonts w:ascii="Arial" w:eastAsia="Arial" w:hAnsi="Arial" w:cs="Arial"/>
                <w:color w:val="737373"/>
                <w:sz w:val="18"/>
                <w:szCs w:val="18"/>
              </w:rPr>
            </w:pPr>
          </w:p>
          <w:p w:rsidR="00BC3E80" w:rsidRPr="00BC3E80" w:rsidRDefault="00BC3E80" w:rsidP="00BC3E80">
            <w:pPr>
              <w:spacing w:after="0" w:line="240" w:lineRule="auto"/>
              <w:rPr>
                <w:rFonts w:ascii="Arial" w:eastAsia="Arial" w:hAnsi="Arial" w:cs="Arial"/>
                <w:color w:val="737373"/>
                <w:sz w:val="18"/>
                <w:szCs w:val="18"/>
              </w:rPr>
            </w:pPr>
          </w:p>
          <w:p w:rsidR="00BC3E80" w:rsidRPr="00BC3E80" w:rsidRDefault="00BC3E80" w:rsidP="00BC3E80">
            <w:pPr>
              <w:spacing w:after="0" w:line="240" w:lineRule="auto"/>
              <w:rPr>
                <w:rFonts w:ascii="Arial" w:eastAsia="Arial" w:hAnsi="Arial" w:cs="Arial"/>
                <w:color w:val="000000"/>
                <w:sz w:val="18"/>
                <w:szCs w:val="18"/>
              </w:rPr>
            </w:pPr>
          </w:p>
        </w:tc>
      </w:tr>
      <w:tr w:rsidR="00BC3E80" w:rsidRPr="00BC3E80" w:rsidTr="009446CC">
        <w:tblPrEx>
          <w:jc w:val="left"/>
        </w:tblPrEx>
        <w:trPr>
          <w:gridAfter w:val="1"/>
          <w:wAfter w:w="93" w:type="dxa"/>
          <w:trHeight w:val="420"/>
        </w:trPr>
        <w:tc>
          <w:tcPr>
            <w:tcW w:w="10077" w:type="dxa"/>
            <w:gridSpan w:val="7"/>
            <w:shd w:val="clear" w:color="auto" w:fill="006D9D"/>
            <w:tcMar>
              <w:top w:w="57" w:type="dxa"/>
              <w:left w:w="57" w:type="dxa"/>
              <w:bottom w:w="57" w:type="dxa"/>
              <w:right w:w="57" w:type="dxa"/>
            </w:tcMar>
          </w:tcPr>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b/>
                <w:color w:val="FFFFFF"/>
                <w:sz w:val="32"/>
                <w:szCs w:val="32"/>
              </w:rPr>
              <w:t xml:space="preserve">Key Health Drivers </w:t>
            </w:r>
          </w:p>
        </w:tc>
      </w:tr>
      <w:tr w:rsidR="00BC3E80" w:rsidRPr="00BC3E80" w:rsidTr="009446CC">
        <w:tblPrEx>
          <w:jc w:val="left"/>
        </w:tblPrEx>
        <w:trPr>
          <w:gridAfter w:val="1"/>
          <w:wAfter w:w="93" w:type="dxa"/>
          <w:trHeight w:val="880"/>
        </w:trPr>
        <w:tc>
          <w:tcPr>
            <w:tcW w:w="1077" w:type="dxa"/>
            <w:gridSpan w:val="3"/>
            <w:tcMar>
              <w:top w:w="14" w:type="dxa"/>
              <w:left w:w="14" w:type="dxa"/>
              <w:bottom w:w="14" w:type="dxa"/>
              <w:right w:w="14" w:type="dxa"/>
            </w:tcMar>
          </w:tcPr>
          <w:p w:rsidR="00BC3E80" w:rsidRPr="00BC3E80" w:rsidRDefault="00BC3E80" w:rsidP="00BC3E80">
            <w:pPr>
              <w:spacing w:after="0" w:line="240" w:lineRule="auto"/>
              <w:ind w:left="-32"/>
              <w:jc w:val="center"/>
              <w:rPr>
                <w:rFonts w:ascii="Arial" w:eastAsia="Arial" w:hAnsi="Arial" w:cs="Arial"/>
                <w:color w:val="000000"/>
                <w:sz w:val="22"/>
                <w:szCs w:val="22"/>
              </w:rPr>
            </w:pPr>
            <w:r w:rsidRPr="00BC3E80">
              <w:rPr>
                <w:rFonts w:ascii="Arial" w:eastAsia="Arial" w:hAnsi="Arial" w:cs="Arial"/>
                <w:noProof/>
                <w:color w:val="000000"/>
                <w:sz w:val="22"/>
                <w:szCs w:val="22"/>
              </w:rPr>
              <w:drawing>
                <wp:inline distT="114300" distB="114300" distL="114300" distR="114300" wp14:anchorId="5C7A3CD7" wp14:editId="587CFD30">
                  <wp:extent cx="552892" cy="561022"/>
                  <wp:effectExtent l="0" t="0" r="0" b="0"/>
                  <wp:docPr id="11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552892" cy="561022"/>
                          </a:xfrm>
                          <a:prstGeom prst="rect">
                            <a:avLst/>
                          </a:prstGeom>
                          <a:ln/>
                        </pic:spPr>
                      </pic:pic>
                    </a:graphicData>
                  </a:graphic>
                </wp:inline>
              </w:drawing>
            </w:r>
          </w:p>
        </w:tc>
        <w:tc>
          <w:tcPr>
            <w:tcW w:w="9000" w:type="dxa"/>
            <w:gridSpan w:val="4"/>
            <w:tcMar>
              <w:top w:w="100" w:type="dxa"/>
              <w:left w:w="100" w:type="dxa"/>
              <w:bottom w:w="100" w:type="dxa"/>
              <w:right w:w="100" w:type="dxa"/>
            </w:tcMar>
            <w:vAlign w:val="center"/>
          </w:tcPr>
          <w:p w:rsidR="00BC3E80" w:rsidRPr="00BC3E80" w:rsidRDefault="00BC3E80" w:rsidP="00BC3E80">
            <w:pPr>
              <w:spacing w:after="0" w:line="240" w:lineRule="auto"/>
              <w:ind w:left="50"/>
              <w:rPr>
                <w:rFonts w:ascii="Arial" w:eastAsia="Arial" w:hAnsi="Arial" w:cs="Arial"/>
                <w:color w:val="000000"/>
                <w:sz w:val="22"/>
                <w:szCs w:val="22"/>
              </w:rPr>
            </w:pPr>
            <w:r w:rsidRPr="00BC3E80">
              <w:rPr>
                <w:rFonts w:ascii="Arial" w:eastAsia="Arial" w:hAnsi="Arial" w:cs="Arial"/>
                <w:b/>
                <w:color w:val="000000"/>
                <w:sz w:val="22"/>
                <w:szCs w:val="22"/>
              </w:rPr>
              <w:t xml:space="preserve">Lack of Social Support. </w:t>
            </w:r>
            <w:r w:rsidRPr="00BC3E80">
              <w:rPr>
                <w:rFonts w:ascii="Arial" w:eastAsia="Arial" w:hAnsi="Arial" w:cs="Arial"/>
                <w:color w:val="000000"/>
                <w:sz w:val="22"/>
                <w:szCs w:val="22"/>
              </w:rPr>
              <w:t xml:space="preserve">Social and emotional support is critical for navigating the challenges of daily life as well as for good mental health. Social and emotional support is also linked to educational achievement and economic stability. The percentage of adults aged 18 and older who self-report that they receive insufficient social and emotional support all or most of the time in the KFH-Ontario Medical Center Service Area is slightly higher than in the S CA MCA or state. </w:t>
            </w:r>
          </w:p>
        </w:tc>
      </w:tr>
      <w:tr w:rsidR="00BC3E80" w:rsidRPr="00BC3E80" w:rsidTr="009446CC">
        <w:tblPrEx>
          <w:jc w:val="left"/>
        </w:tblPrEx>
        <w:trPr>
          <w:gridAfter w:val="1"/>
          <w:wAfter w:w="93" w:type="dxa"/>
          <w:trHeight w:val="1880"/>
        </w:trPr>
        <w:tc>
          <w:tcPr>
            <w:tcW w:w="10077" w:type="dxa"/>
            <w:gridSpan w:val="7"/>
            <w:tcMar>
              <w:top w:w="100" w:type="dxa"/>
              <w:left w:w="100" w:type="dxa"/>
              <w:bottom w:w="100" w:type="dxa"/>
              <w:right w:w="100" w:type="dxa"/>
            </w:tcMar>
          </w:tcPr>
          <w:p w:rsidR="00BC3E80" w:rsidRPr="00BC3E80" w:rsidRDefault="00BC3E80" w:rsidP="00BC3E80">
            <w:pPr>
              <w:spacing w:after="0" w:line="240" w:lineRule="auto"/>
              <w:ind w:left="50"/>
              <w:rPr>
                <w:rFonts w:ascii="Arial" w:eastAsia="Arial" w:hAnsi="Arial" w:cs="Arial"/>
                <w:color w:val="075290"/>
                <w:sz w:val="22"/>
                <w:szCs w:val="22"/>
                <w:u w:val="single"/>
              </w:rPr>
            </w:pPr>
          </w:p>
          <w:p w:rsidR="00BC3E80" w:rsidRPr="00BC3E80" w:rsidRDefault="00BC3E80" w:rsidP="00BC3E80">
            <w:pPr>
              <w:spacing w:after="0" w:line="240" w:lineRule="auto"/>
              <w:jc w:val="center"/>
              <w:rPr>
                <w:rFonts w:ascii="Arial" w:eastAsia="Arial" w:hAnsi="Arial" w:cs="Arial"/>
                <w:b/>
                <w:color w:val="000000"/>
                <w:sz w:val="22"/>
                <w:szCs w:val="22"/>
              </w:rPr>
            </w:pPr>
            <w:r w:rsidRPr="00BC3E80">
              <w:rPr>
                <w:rFonts w:ascii="Arial" w:eastAsia="Arial" w:hAnsi="Arial" w:cs="Arial"/>
                <w:b/>
                <w:color w:val="000000"/>
                <w:sz w:val="22"/>
                <w:szCs w:val="22"/>
              </w:rPr>
              <w:t>Adults Without Adequate Social/Emotional Support (Age-Adjusted)</w:t>
            </w:r>
          </w:p>
          <w:tbl>
            <w:tblPr>
              <w:tblW w:w="9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51"/>
              <w:gridCol w:w="2451"/>
              <w:gridCol w:w="2451"/>
              <w:gridCol w:w="2451"/>
            </w:tblGrid>
            <w:tr w:rsidR="00BC3E80" w:rsidRPr="00BC3E80" w:rsidTr="009446CC">
              <w:trPr>
                <w:trHeight w:val="277"/>
              </w:trPr>
              <w:tc>
                <w:tcPr>
                  <w:tcW w:w="2451" w:type="dxa"/>
                  <w:shd w:val="clear" w:color="auto" w:fill="000000"/>
                  <w:tcMar>
                    <w:top w:w="28" w:type="dxa"/>
                    <w:left w:w="28" w:type="dxa"/>
                    <w:bottom w:w="28" w:type="dxa"/>
                    <w:right w:w="28" w:type="dxa"/>
                  </w:tcMar>
                </w:tcPr>
                <w:p w:rsidR="00BC3E80" w:rsidRPr="00BC3E80" w:rsidRDefault="00BC3E80" w:rsidP="00BC3E80">
                  <w:pPr>
                    <w:spacing w:after="0" w:line="240" w:lineRule="auto"/>
                    <w:jc w:val="center"/>
                    <w:rPr>
                      <w:rFonts w:ascii="Arial" w:eastAsia="Arial" w:hAnsi="Arial" w:cs="Arial"/>
                      <w:color w:val="000000"/>
                      <w:sz w:val="22"/>
                      <w:szCs w:val="22"/>
                    </w:rPr>
                  </w:pPr>
                  <w:r w:rsidRPr="00BC3E80">
                    <w:rPr>
                      <w:rFonts w:ascii="Arial" w:eastAsia="Arial" w:hAnsi="Arial" w:cs="Arial"/>
                      <w:color w:val="FFFFFF"/>
                      <w:sz w:val="22"/>
                      <w:szCs w:val="22"/>
                    </w:rPr>
                    <w:t>KFH-Fontana MCSA</w:t>
                  </w:r>
                </w:p>
              </w:tc>
              <w:tc>
                <w:tcPr>
                  <w:tcW w:w="2451" w:type="dxa"/>
                  <w:tcBorders>
                    <w:right w:val="single" w:sz="4" w:space="0" w:color="auto"/>
                  </w:tcBorders>
                  <w:shd w:val="clear" w:color="auto" w:fill="000000"/>
                  <w:tcMar>
                    <w:top w:w="28" w:type="dxa"/>
                    <w:left w:w="28" w:type="dxa"/>
                    <w:bottom w:w="28" w:type="dxa"/>
                    <w:right w:w="28" w:type="dxa"/>
                  </w:tcMar>
                </w:tcPr>
                <w:p w:rsidR="00BC3E80" w:rsidRPr="00BC3E80" w:rsidRDefault="00BC3E80" w:rsidP="00BC3E80">
                  <w:pPr>
                    <w:spacing w:after="0" w:line="240" w:lineRule="auto"/>
                    <w:jc w:val="center"/>
                    <w:rPr>
                      <w:rFonts w:ascii="Arial" w:eastAsia="Arial" w:hAnsi="Arial" w:cs="Arial"/>
                      <w:color w:val="FFFFFF"/>
                      <w:sz w:val="22"/>
                      <w:szCs w:val="22"/>
                    </w:rPr>
                  </w:pPr>
                  <w:r w:rsidRPr="00BC3E80">
                    <w:rPr>
                      <w:rFonts w:ascii="Arial" w:eastAsia="Arial" w:hAnsi="Arial" w:cs="Arial"/>
                      <w:color w:val="FFFFFF"/>
                      <w:sz w:val="22"/>
                      <w:szCs w:val="22"/>
                    </w:rPr>
                    <w:t>KFH-Ontario MCSA</w:t>
                  </w:r>
                </w:p>
              </w:tc>
              <w:tc>
                <w:tcPr>
                  <w:tcW w:w="2451" w:type="dxa"/>
                  <w:tcBorders>
                    <w:left w:val="single" w:sz="4" w:space="0" w:color="auto"/>
                  </w:tcBorders>
                  <w:shd w:val="clear" w:color="auto" w:fill="000000"/>
                </w:tcPr>
                <w:p w:rsidR="00BC3E80" w:rsidRPr="00BC3E80" w:rsidRDefault="00BC3E80" w:rsidP="00BC3E80">
                  <w:pPr>
                    <w:spacing w:after="0" w:line="240" w:lineRule="auto"/>
                    <w:jc w:val="center"/>
                    <w:rPr>
                      <w:rFonts w:ascii="Arial" w:eastAsia="Arial" w:hAnsi="Arial" w:cs="Arial"/>
                      <w:color w:val="000000"/>
                      <w:sz w:val="22"/>
                      <w:szCs w:val="22"/>
                    </w:rPr>
                  </w:pPr>
                  <w:r w:rsidRPr="00BC3E80">
                    <w:rPr>
                      <w:rFonts w:ascii="Arial" w:eastAsia="Calibri" w:hAnsi="Arial" w:cs="Arial"/>
                      <w:sz w:val="22"/>
                      <w:szCs w:val="22"/>
                    </w:rPr>
                    <w:t>S CA MCA</w:t>
                  </w:r>
                </w:p>
              </w:tc>
              <w:tc>
                <w:tcPr>
                  <w:tcW w:w="2451" w:type="dxa"/>
                  <w:shd w:val="clear" w:color="auto" w:fill="000000"/>
                  <w:tcMar>
                    <w:top w:w="28" w:type="dxa"/>
                    <w:left w:w="28" w:type="dxa"/>
                    <w:bottom w:w="28" w:type="dxa"/>
                    <w:right w:w="28" w:type="dxa"/>
                  </w:tcMar>
                </w:tcPr>
                <w:p w:rsidR="00BC3E80" w:rsidRPr="00BC3E80" w:rsidRDefault="00BC3E80" w:rsidP="00BC3E80">
                  <w:pPr>
                    <w:spacing w:after="0" w:line="240" w:lineRule="auto"/>
                    <w:jc w:val="center"/>
                    <w:rPr>
                      <w:rFonts w:ascii="Arial" w:eastAsia="Arial" w:hAnsi="Arial" w:cs="Arial"/>
                      <w:color w:val="000000"/>
                      <w:sz w:val="22"/>
                      <w:szCs w:val="22"/>
                    </w:rPr>
                  </w:pPr>
                  <w:r w:rsidRPr="00BC3E80">
                    <w:rPr>
                      <w:rFonts w:ascii="Arial" w:eastAsia="Arial" w:hAnsi="Arial" w:cs="Arial"/>
                      <w:color w:val="FFFFFF"/>
                      <w:sz w:val="22"/>
                      <w:szCs w:val="22"/>
                    </w:rPr>
                    <w:t>California</w:t>
                  </w:r>
                </w:p>
              </w:tc>
            </w:tr>
            <w:tr w:rsidR="00BC3E80" w:rsidRPr="00BC3E80" w:rsidTr="009446CC">
              <w:trPr>
                <w:trHeight w:val="304"/>
              </w:trPr>
              <w:tc>
                <w:tcPr>
                  <w:tcW w:w="2451" w:type="dxa"/>
                  <w:tcMar>
                    <w:top w:w="28" w:type="dxa"/>
                    <w:left w:w="28" w:type="dxa"/>
                    <w:bottom w:w="28" w:type="dxa"/>
                    <w:right w:w="28" w:type="dxa"/>
                  </w:tcMar>
                </w:tcPr>
                <w:p w:rsidR="00BC3E80" w:rsidRPr="00BC3E80" w:rsidRDefault="00BC3E80" w:rsidP="00BC3E80">
                  <w:pPr>
                    <w:spacing w:after="0" w:line="240" w:lineRule="auto"/>
                    <w:jc w:val="center"/>
                    <w:rPr>
                      <w:rFonts w:ascii="Arial" w:eastAsia="Arial" w:hAnsi="Arial" w:cs="Arial"/>
                      <w:sz w:val="22"/>
                      <w:szCs w:val="22"/>
                    </w:rPr>
                  </w:pPr>
                  <w:r w:rsidRPr="00BC3E80">
                    <w:rPr>
                      <w:rFonts w:ascii="Arial" w:eastAsia="Arial" w:hAnsi="Arial" w:cs="Arial"/>
                      <w:sz w:val="22"/>
                      <w:szCs w:val="22"/>
                    </w:rPr>
                    <w:t>25.8%</w:t>
                  </w:r>
                </w:p>
              </w:tc>
              <w:tc>
                <w:tcPr>
                  <w:tcW w:w="2451" w:type="dxa"/>
                  <w:tcBorders>
                    <w:right w:val="single" w:sz="4" w:space="0" w:color="auto"/>
                  </w:tcBorders>
                  <w:tcMar>
                    <w:top w:w="28" w:type="dxa"/>
                    <w:left w:w="28" w:type="dxa"/>
                    <w:bottom w:w="28" w:type="dxa"/>
                    <w:right w:w="28" w:type="dxa"/>
                  </w:tcMar>
                </w:tcPr>
                <w:p w:rsidR="00BC3E80" w:rsidRPr="00BC3E80" w:rsidRDefault="00BC3E80" w:rsidP="00BC3E80">
                  <w:pPr>
                    <w:spacing w:after="0" w:line="240" w:lineRule="auto"/>
                    <w:jc w:val="center"/>
                    <w:rPr>
                      <w:rFonts w:ascii="Arial" w:eastAsia="Arial" w:hAnsi="Arial" w:cs="Arial"/>
                      <w:sz w:val="22"/>
                      <w:szCs w:val="22"/>
                    </w:rPr>
                  </w:pPr>
                  <w:r w:rsidRPr="00BC3E80">
                    <w:rPr>
                      <w:rFonts w:ascii="Arial" w:eastAsia="Arial" w:hAnsi="Arial" w:cs="Arial"/>
                      <w:color w:val="FF0000"/>
                      <w:sz w:val="22"/>
                      <w:szCs w:val="22"/>
                    </w:rPr>
                    <w:t>26.4%</w:t>
                  </w:r>
                </w:p>
              </w:tc>
              <w:tc>
                <w:tcPr>
                  <w:tcW w:w="2451" w:type="dxa"/>
                  <w:tcBorders>
                    <w:left w:val="single" w:sz="4" w:space="0" w:color="auto"/>
                  </w:tcBorders>
                </w:tcPr>
                <w:p w:rsidR="00BC3E80" w:rsidRPr="00BC3E80" w:rsidRDefault="00BC3E80" w:rsidP="00BC3E80">
                  <w:pPr>
                    <w:spacing w:after="0" w:line="240" w:lineRule="auto"/>
                    <w:jc w:val="center"/>
                    <w:rPr>
                      <w:rFonts w:ascii="Arial" w:eastAsia="Arial" w:hAnsi="Arial" w:cs="Arial"/>
                      <w:sz w:val="22"/>
                      <w:szCs w:val="22"/>
                    </w:rPr>
                  </w:pPr>
                  <w:r w:rsidRPr="00BC3E80">
                    <w:rPr>
                      <w:rFonts w:ascii="Arial" w:eastAsia="Arial" w:hAnsi="Arial" w:cs="Arial"/>
                      <w:sz w:val="22"/>
                      <w:szCs w:val="22"/>
                    </w:rPr>
                    <w:t>25.8%</w:t>
                  </w:r>
                </w:p>
              </w:tc>
              <w:tc>
                <w:tcPr>
                  <w:tcW w:w="2451" w:type="dxa"/>
                  <w:tcMar>
                    <w:top w:w="28" w:type="dxa"/>
                    <w:left w:w="28" w:type="dxa"/>
                    <w:bottom w:w="28" w:type="dxa"/>
                    <w:right w:w="28" w:type="dxa"/>
                  </w:tcMar>
                </w:tcPr>
                <w:p w:rsidR="00BC3E80" w:rsidRPr="00BC3E80" w:rsidRDefault="00BC3E80" w:rsidP="00BC3E80">
                  <w:pPr>
                    <w:spacing w:after="0" w:line="240" w:lineRule="auto"/>
                    <w:jc w:val="center"/>
                    <w:rPr>
                      <w:rFonts w:ascii="Arial" w:eastAsia="Arial" w:hAnsi="Arial" w:cs="Arial"/>
                      <w:sz w:val="22"/>
                      <w:szCs w:val="22"/>
                    </w:rPr>
                  </w:pPr>
                  <w:r w:rsidRPr="00BC3E80">
                    <w:rPr>
                      <w:rFonts w:ascii="Arial" w:eastAsia="Arial" w:hAnsi="Arial" w:cs="Arial"/>
                      <w:sz w:val="22"/>
                      <w:szCs w:val="22"/>
                    </w:rPr>
                    <w:t>24.6%</w:t>
                  </w:r>
                </w:p>
              </w:tc>
            </w:tr>
          </w:tbl>
          <w:p w:rsidR="00BC3E80" w:rsidRPr="00BC3E80" w:rsidRDefault="00BC3E80" w:rsidP="00BC3E80">
            <w:pPr>
              <w:spacing w:after="0" w:line="240" w:lineRule="auto"/>
              <w:rPr>
                <w:rFonts w:ascii="Arial" w:eastAsia="Arial" w:hAnsi="Arial" w:cs="Arial"/>
                <w:color w:val="000000"/>
                <w:sz w:val="18"/>
                <w:szCs w:val="18"/>
              </w:rPr>
            </w:pPr>
            <w:r w:rsidRPr="00BC3E80">
              <w:rPr>
                <w:rFonts w:ascii="Arial" w:eastAsia="Arial" w:hAnsi="Arial" w:cs="Arial"/>
                <w:i/>
                <w:color w:val="737373"/>
                <w:sz w:val="18"/>
                <w:szCs w:val="18"/>
                <w:highlight w:val="white"/>
              </w:rPr>
              <w:t xml:space="preserve">Source: </w:t>
            </w:r>
            <w:r w:rsidRPr="00BC3E80">
              <w:rPr>
                <w:rFonts w:ascii="Arial" w:eastAsia="Arial" w:hAnsi="Arial" w:cs="Arial"/>
                <w:i/>
                <w:iCs/>
                <w:color w:val="737373"/>
                <w:sz w:val="18"/>
                <w:szCs w:val="18"/>
                <w:highlight w:val="white"/>
              </w:rPr>
              <w:t>Centers for Disease Control and Prevention, </w:t>
            </w:r>
            <w:hyperlink r:id="rId40" w:tgtFrame="_blank" w:history="1">
              <w:r w:rsidRPr="00BC3E80">
                <w:rPr>
                  <w:rFonts w:ascii="Arial" w:eastAsia="Arial" w:hAnsi="Arial" w:cs="Arial"/>
                  <w:color w:val="737373"/>
                  <w:sz w:val="18"/>
                  <w:szCs w:val="18"/>
                  <w:highlight w:val="white"/>
                </w:rPr>
                <w:t>Behavioral Risk Factor Surveillance System</w:t>
              </w:r>
            </w:hyperlink>
            <w:r w:rsidRPr="00BC3E80">
              <w:rPr>
                <w:rFonts w:ascii="Arial" w:eastAsia="Arial" w:hAnsi="Arial" w:cs="Arial"/>
                <w:i/>
                <w:iCs/>
                <w:color w:val="737373"/>
                <w:sz w:val="18"/>
                <w:szCs w:val="18"/>
                <w:highlight w:val="white"/>
              </w:rPr>
              <w:t>. Accessed via the </w:t>
            </w:r>
            <w:hyperlink r:id="rId41" w:tgtFrame="_blank" w:history="1">
              <w:r w:rsidRPr="00BC3E80">
                <w:rPr>
                  <w:rFonts w:ascii="Arial" w:eastAsia="Arial" w:hAnsi="Arial" w:cs="Arial"/>
                  <w:color w:val="737373"/>
                  <w:sz w:val="18"/>
                  <w:szCs w:val="18"/>
                  <w:highlight w:val="white"/>
                </w:rPr>
                <w:t>Health Indicators Warehouse</w:t>
              </w:r>
            </w:hyperlink>
            <w:r w:rsidRPr="00BC3E80">
              <w:rPr>
                <w:rFonts w:ascii="Arial" w:eastAsia="Arial" w:hAnsi="Arial" w:cs="Arial"/>
                <w:i/>
                <w:iCs/>
                <w:color w:val="737373"/>
                <w:sz w:val="18"/>
                <w:szCs w:val="18"/>
                <w:highlight w:val="white"/>
              </w:rPr>
              <w:t>. US Department of Health &amp; Human Services, </w:t>
            </w:r>
            <w:hyperlink r:id="rId42" w:tgtFrame="_blank" w:history="1">
              <w:r w:rsidRPr="00BC3E80">
                <w:rPr>
                  <w:rFonts w:ascii="Arial" w:eastAsia="Arial" w:hAnsi="Arial" w:cs="Arial"/>
                  <w:color w:val="737373"/>
                  <w:sz w:val="18"/>
                  <w:szCs w:val="18"/>
                  <w:highlight w:val="white"/>
                </w:rPr>
                <w:t>Health Indicators Warehouse</w:t>
              </w:r>
            </w:hyperlink>
            <w:r w:rsidRPr="00BC3E80">
              <w:rPr>
                <w:rFonts w:ascii="Arial" w:eastAsia="Arial" w:hAnsi="Arial" w:cs="Arial"/>
                <w:i/>
                <w:iCs/>
                <w:color w:val="737373"/>
                <w:sz w:val="18"/>
                <w:szCs w:val="18"/>
                <w:highlight w:val="white"/>
              </w:rPr>
              <w:t>. 2006-12. Source geography: County</w:t>
            </w:r>
          </w:p>
        </w:tc>
      </w:tr>
      <w:tr w:rsidR="00BC3E80" w:rsidRPr="00BC3E80" w:rsidTr="009446CC">
        <w:tblPrEx>
          <w:jc w:val="left"/>
        </w:tblPrEx>
        <w:trPr>
          <w:gridAfter w:val="1"/>
          <w:wAfter w:w="93" w:type="dxa"/>
          <w:trHeight w:val="2104"/>
        </w:trPr>
        <w:tc>
          <w:tcPr>
            <w:tcW w:w="10077" w:type="dxa"/>
            <w:gridSpan w:val="7"/>
            <w:tcMar>
              <w:top w:w="100" w:type="dxa"/>
              <w:left w:w="100" w:type="dxa"/>
              <w:bottom w:w="100" w:type="dxa"/>
              <w:right w:w="100" w:type="dxa"/>
            </w:tcMar>
          </w:tcPr>
          <w:p w:rsidR="00BC3E80" w:rsidRPr="00BC3E80" w:rsidRDefault="00BC3E80" w:rsidP="00BC3E80">
            <w:pPr>
              <w:spacing w:after="0" w:line="240" w:lineRule="auto"/>
              <w:jc w:val="center"/>
              <w:rPr>
                <w:rFonts w:ascii="Arial" w:eastAsia="Arial" w:hAnsi="Arial" w:cs="Arial"/>
                <w:b/>
                <w:color w:val="000000"/>
                <w:sz w:val="22"/>
                <w:szCs w:val="22"/>
              </w:rPr>
            </w:pPr>
            <w:r w:rsidRPr="00BC3E80">
              <w:rPr>
                <w:rFonts w:ascii="Arial" w:eastAsia="Arial" w:hAnsi="Arial" w:cs="Arial"/>
                <w:b/>
                <w:color w:val="000000"/>
                <w:sz w:val="22"/>
                <w:szCs w:val="22"/>
              </w:rPr>
              <w:t>Mental Health Care Provider Rate (Per 100,000 Population)</w:t>
            </w:r>
          </w:p>
          <w:p w:rsidR="00BC3E80" w:rsidRPr="00BC3E80" w:rsidRDefault="00BC3E80" w:rsidP="00BC3E80">
            <w:pPr>
              <w:spacing w:after="0" w:line="240" w:lineRule="auto"/>
              <w:jc w:val="center"/>
              <w:rPr>
                <w:rFonts w:ascii="Arial" w:eastAsia="Arial" w:hAnsi="Arial" w:cs="Arial"/>
                <w:b/>
                <w:color w:val="000000"/>
                <w:sz w:val="22"/>
                <w:szCs w:val="22"/>
              </w:rPr>
            </w:pP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1"/>
              <w:gridCol w:w="1969"/>
            </w:tblGrid>
            <w:tr w:rsidR="00BC3E80" w:rsidRPr="00BC3E80" w:rsidTr="009446CC">
              <w:trPr>
                <w:trHeight w:val="253"/>
                <w:jc w:val="center"/>
              </w:trPr>
              <w:tc>
                <w:tcPr>
                  <w:tcW w:w="4141" w:type="dxa"/>
                </w:tcPr>
                <w:p w:rsidR="00BC3E80" w:rsidRPr="00BC3E80" w:rsidRDefault="00BC3E80" w:rsidP="00BC3E80">
                  <w:pPr>
                    <w:widowControl/>
                    <w:spacing w:after="0" w:line="240" w:lineRule="auto"/>
                    <w:rPr>
                      <w:rFonts w:ascii="Arial" w:eastAsia="Calibri" w:hAnsi="Arial" w:cs="Arial"/>
                      <w:sz w:val="22"/>
                      <w:szCs w:val="22"/>
                    </w:rPr>
                  </w:pPr>
                  <w:r w:rsidRPr="00BC3E80">
                    <w:rPr>
                      <w:rFonts w:ascii="Arial" w:eastAsia="Calibri" w:hAnsi="Arial" w:cs="Arial"/>
                      <w:sz w:val="22"/>
                      <w:szCs w:val="22"/>
                    </w:rPr>
                    <w:t>KFH-Fontana MCSA</w:t>
                  </w:r>
                </w:p>
              </w:tc>
              <w:tc>
                <w:tcPr>
                  <w:tcW w:w="1969" w:type="dxa"/>
                </w:tcPr>
                <w:p w:rsidR="00BC3E80" w:rsidRPr="00BC3E80" w:rsidRDefault="00BC3E80" w:rsidP="00BC3E80">
                  <w:pPr>
                    <w:widowControl/>
                    <w:spacing w:after="0" w:line="240" w:lineRule="auto"/>
                    <w:rPr>
                      <w:rFonts w:ascii="Arial" w:eastAsia="Calibri" w:hAnsi="Arial" w:cs="Arial"/>
                      <w:color w:val="FF0000"/>
                      <w:sz w:val="22"/>
                      <w:szCs w:val="22"/>
                    </w:rPr>
                  </w:pPr>
                  <w:r w:rsidRPr="00BC3E80">
                    <w:rPr>
                      <w:rFonts w:ascii="Arial" w:eastAsia="Calibri" w:hAnsi="Arial" w:cs="Arial"/>
                      <w:color w:val="FF0000"/>
                      <w:sz w:val="22"/>
                      <w:szCs w:val="22"/>
                    </w:rPr>
                    <w:t>94.6</w:t>
                  </w:r>
                </w:p>
              </w:tc>
            </w:tr>
            <w:tr w:rsidR="00BC3E80" w:rsidRPr="00BC3E80" w:rsidTr="009446CC">
              <w:trPr>
                <w:trHeight w:val="291"/>
                <w:jc w:val="center"/>
              </w:trPr>
              <w:tc>
                <w:tcPr>
                  <w:tcW w:w="4141" w:type="dxa"/>
                </w:tcPr>
                <w:p w:rsidR="00BC3E80" w:rsidRPr="00BC3E80" w:rsidRDefault="00BC3E80" w:rsidP="00BC3E80">
                  <w:pPr>
                    <w:widowControl/>
                    <w:spacing w:after="0" w:line="240" w:lineRule="auto"/>
                    <w:rPr>
                      <w:rFonts w:ascii="Arial" w:eastAsia="Calibri" w:hAnsi="Arial" w:cs="Arial"/>
                      <w:sz w:val="22"/>
                      <w:szCs w:val="22"/>
                    </w:rPr>
                  </w:pPr>
                  <w:r w:rsidRPr="00BC3E80">
                    <w:rPr>
                      <w:rFonts w:ascii="Arial" w:eastAsia="Calibri" w:hAnsi="Arial" w:cs="Arial"/>
                      <w:sz w:val="22"/>
                      <w:szCs w:val="22"/>
                    </w:rPr>
                    <w:t>KFH-Ontario MCSA</w:t>
                  </w:r>
                </w:p>
              </w:tc>
              <w:tc>
                <w:tcPr>
                  <w:tcW w:w="1969" w:type="dxa"/>
                </w:tcPr>
                <w:p w:rsidR="00BC3E80" w:rsidRPr="00BC3E80" w:rsidRDefault="00BC3E80" w:rsidP="00BC3E80">
                  <w:pPr>
                    <w:widowControl/>
                    <w:spacing w:after="0" w:line="240" w:lineRule="auto"/>
                    <w:rPr>
                      <w:rFonts w:ascii="Arial" w:eastAsia="Calibri" w:hAnsi="Arial" w:cs="Arial"/>
                      <w:color w:val="FF0000"/>
                      <w:sz w:val="22"/>
                      <w:szCs w:val="22"/>
                    </w:rPr>
                  </w:pPr>
                  <w:r w:rsidRPr="00BC3E80">
                    <w:rPr>
                      <w:rFonts w:ascii="Arial" w:eastAsia="Calibri" w:hAnsi="Arial" w:cs="Arial"/>
                      <w:color w:val="FF0000"/>
                      <w:sz w:val="22"/>
                      <w:szCs w:val="22"/>
                    </w:rPr>
                    <w:t>105.4</w:t>
                  </w:r>
                </w:p>
              </w:tc>
            </w:tr>
            <w:tr w:rsidR="00BC3E80" w:rsidRPr="00BC3E80" w:rsidTr="009446CC">
              <w:trPr>
                <w:trHeight w:val="273"/>
                <w:jc w:val="center"/>
              </w:trPr>
              <w:tc>
                <w:tcPr>
                  <w:tcW w:w="4141" w:type="dxa"/>
                </w:tcPr>
                <w:p w:rsidR="00BC3E80" w:rsidRPr="00BC3E80" w:rsidRDefault="00BC3E80" w:rsidP="00BC3E80">
                  <w:pPr>
                    <w:widowControl/>
                    <w:spacing w:after="0" w:line="240" w:lineRule="auto"/>
                    <w:rPr>
                      <w:rFonts w:ascii="Arial" w:eastAsia="Calibri" w:hAnsi="Arial" w:cs="Arial"/>
                      <w:sz w:val="22"/>
                      <w:szCs w:val="22"/>
                    </w:rPr>
                  </w:pPr>
                  <w:r w:rsidRPr="00BC3E80">
                    <w:rPr>
                      <w:rFonts w:ascii="Arial" w:eastAsia="Calibri" w:hAnsi="Arial" w:cs="Arial"/>
                      <w:sz w:val="22"/>
                      <w:szCs w:val="22"/>
                    </w:rPr>
                    <w:t>S CA MCA</w:t>
                  </w:r>
                </w:p>
              </w:tc>
              <w:tc>
                <w:tcPr>
                  <w:tcW w:w="1969" w:type="dxa"/>
                </w:tcPr>
                <w:p w:rsidR="00BC3E80" w:rsidRPr="00BC3E80" w:rsidRDefault="00BC3E80" w:rsidP="00BC3E80">
                  <w:pPr>
                    <w:widowControl/>
                    <w:spacing w:after="0" w:line="240" w:lineRule="auto"/>
                    <w:rPr>
                      <w:rFonts w:ascii="Arial" w:eastAsia="Calibri" w:hAnsi="Arial" w:cs="Arial"/>
                      <w:sz w:val="22"/>
                      <w:szCs w:val="22"/>
                    </w:rPr>
                  </w:pPr>
                  <w:r w:rsidRPr="00BC3E80">
                    <w:rPr>
                      <w:rFonts w:ascii="Arial" w:eastAsia="Calibri" w:hAnsi="Arial" w:cs="Arial"/>
                      <w:sz w:val="22"/>
                      <w:szCs w:val="22"/>
                    </w:rPr>
                    <w:t>133.7</w:t>
                  </w:r>
                </w:p>
              </w:tc>
            </w:tr>
            <w:tr w:rsidR="00BC3E80" w:rsidRPr="00BC3E80" w:rsidTr="009446CC">
              <w:trPr>
                <w:trHeight w:val="273"/>
                <w:jc w:val="center"/>
              </w:trPr>
              <w:tc>
                <w:tcPr>
                  <w:tcW w:w="4141" w:type="dxa"/>
                </w:tcPr>
                <w:p w:rsidR="00BC3E80" w:rsidRPr="00BC3E80" w:rsidRDefault="00BC3E80" w:rsidP="00BC3E80">
                  <w:pPr>
                    <w:widowControl/>
                    <w:spacing w:after="0" w:line="240" w:lineRule="auto"/>
                    <w:rPr>
                      <w:rFonts w:ascii="Arial" w:eastAsia="Calibri" w:hAnsi="Arial" w:cs="Arial"/>
                      <w:sz w:val="22"/>
                      <w:szCs w:val="22"/>
                    </w:rPr>
                  </w:pPr>
                  <w:r w:rsidRPr="00BC3E80">
                    <w:rPr>
                      <w:rFonts w:ascii="Arial" w:eastAsia="Calibri" w:hAnsi="Arial" w:cs="Arial"/>
                      <w:sz w:val="22"/>
                      <w:szCs w:val="22"/>
                    </w:rPr>
                    <w:t>California</w:t>
                  </w:r>
                </w:p>
              </w:tc>
              <w:tc>
                <w:tcPr>
                  <w:tcW w:w="1969" w:type="dxa"/>
                </w:tcPr>
                <w:p w:rsidR="00BC3E80" w:rsidRPr="00BC3E80" w:rsidRDefault="00BC3E80" w:rsidP="00BC3E80">
                  <w:pPr>
                    <w:widowControl/>
                    <w:spacing w:after="0" w:line="240" w:lineRule="auto"/>
                    <w:rPr>
                      <w:rFonts w:ascii="Arial" w:eastAsia="Calibri" w:hAnsi="Arial" w:cs="Arial"/>
                      <w:sz w:val="22"/>
                      <w:szCs w:val="22"/>
                    </w:rPr>
                  </w:pPr>
                  <w:r w:rsidRPr="00BC3E80">
                    <w:rPr>
                      <w:rFonts w:ascii="Arial" w:eastAsia="Calibri" w:hAnsi="Arial" w:cs="Arial"/>
                      <w:sz w:val="22"/>
                      <w:szCs w:val="22"/>
                    </w:rPr>
                    <w:t>157</w:t>
                  </w:r>
                </w:p>
              </w:tc>
            </w:tr>
          </w:tbl>
          <w:p w:rsidR="00BC3E80" w:rsidRPr="00BC3E80" w:rsidRDefault="00BC3E80" w:rsidP="00BC3E80">
            <w:pPr>
              <w:spacing w:after="0" w:line="240" w:lineRule="auto"/>
              <w:rPr>
                <w:rFonts w:ascii="Arial" w:eastAsia="Open Sans" w:hAnsi="Arial" w:cs="Arial"/>
                <w:i/>
                <w:iCs/>
                <w:color w:val="555555"/>
                <w:sz w:val="18"/>
                <w:szCs w:val="18"/>
                <w:highlight w:val="white"/>
              </w:rPr>
            </w:pPr>
          </w:p>
          <w:p w:rsidR="00BC3E80" w:rsidRPr="00BC3E80" w:rsidRDefault="00BC3E80" w:rsidP="00BC3E80">
            <w:pPr>
              <w:spacing w:after="0" w:line="240" w:lineRule="auto"/>
              <w:rPr>
                <w:rFonts w:ascii="Arial" w:eastAsia="Open Sans" w:hAnsi="Arial" w:cs="Arial"/>
                <w:i/>
                <w:iCs/>
                <w:color w:val="555555"/>
                <w:sz w:val="18"/>
                <w:szCs w:val="18"/>
                <w:highlight w:val="white"/>
              </w:rPr>
            </w:pPr>
            <w:r w:rsidRPr="00BC3E80">
              <w:rPr>
                <w:rFonts w:ascii="Arial" w:eastAsia="Arial" w:hAnsi="Arial" w:cs="Arial"/>
                <w:color w:val="000000"/>
                <w:sz w:val="20"/>
                <w:szCs w:val="20"/>
              </w:rPr>
              <w:t>There is a lower rate of mental health care providers in the KFH-Fontana/Ontario Medical Center Service Areas than in the S CA MCA and the state</w:t>
            </w:r>
          </w:p>
          <w:p w:rsidR="00BC3E80" w:rsidRPr="00BC3E80" w:rsidRDefault="00BC3E80" w:rsidP="00BC3E80">
            <w:pPr>
              <w:spacing w:after="0" w:line="240" w:lineRule="auto"/>
              <w:rPr>
                <w:rFonts w:ascii="Arial" w:eastAsia="Open Sans" w:hAnsi="Arial" w:cs="Arial"/>
                <w:i/>
                <w:iCs/>
                <w:color w:val="555555"/>
                <w:sz w:val="18"/>
                <w:szCs w:val="18"/>
                <w:highlight w:val="white"/>
              </w:rPr>
            </w:pPr>
          </w:p>
          <w:p w:rsidR="00BC3E80" w:rsidRPr="00BC3E80" w:rsidRDefault="00BC3E80" w:rsidP="00BC3E80">
            <w:pPr>
              <w:spacing w:after="0" w:line="240" w:lineRule="auto"/>
              <w:rPr>
                <w:rFonts w:ascii="Arial" w:eastAsia="Open Sans" w:hAnsi="Arial" w:cs="Arial"/>
                <w:i/>
                <w:iCs/>
                <w:color w:val="555555"/>
                <w:sz w:val="18"/>
                <w:szCs w:val="18"/>
              </w:rPr>
            </w:pPr>
            <w:r w:rsidRPr="00BC3E80">
              <w:rPr>
                <w:rFonts w:ascii="Arial" w:eastAsia="Open Sans" w:hAnsi="Arial" w:cs="Arial"/>
                <w:i/>
                <w:iCs/>
                <w:color w:val="555555"/>
                <w:sz w:val="18"/>
                <w:szCs w:val="18"/>
                <w:highlight w:val="white"/>
              </w:rPr>
              <w:t>Source: University of Wisconsin Population Health Institute, County Health Rankings. 2014. Source geography: County</w:t>
            </w:r>
          </w:p>
        </w:tc>
      </w:tr>
      <w:tr w:rsidR="00BC3E80" w:rsidRPr="00BC3E80" w:rsidTr="009446CC">
        <w:tblPrEx>
          <w:jc w:val="left"/>
        </w:tblPrEx>
        <w:trPr>
          <w:gridAfter w:val="1"/>
          <w:wAfter w:w="93" w:type="dxa"/>
          <w:trHeight w:val="420"/>
        </w:trPr>
        <w:tc>
          <w:tcPr>
            <w:tcW w:w="10077" w:type="dxa"/>
            <w:gridSpan w:val="7"/>
            <w:shd w:val="clear" w:color="auto" w:fill="006D9D"/>
            <w:tcMar>
              <w:top w:w="57" w:type="dxa"/>
              <w:left w:w="57" w:type="dxa"/>
              <w:bottom w:w="57" w:type="dxa"/>
              <w:right w:w="57" w:type="dxa"/>
            </w:tcMar>
          </w:tcPr>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color w:val="000000"/>
                <w:sz w:val="22"/>
                <w:szCs w:val="22"/>
              </w:rPr>
              <w:br w:type="page"/>
            </w:r>
            <w:r w:rsidRPr="00BC3E80">
              <w:rPr>
                <w:rFonts w:ascii="Arial" w:eastAsia="Arial" w:hAnsi="Arial" w:cs="Arial"/>
                <w:b/>
                <w:color w:val="FFFFFF"/>
                <w:sz w:val="32"/>
                <w:szCs w:val="32"/>
              </w:rPr>
              <w:t>Assets and Opportunities</w:t>
            </w:r>
          </w:p>
        </w:tc>
      </w:tr>
      <w:tr w:rsidR="00BC3E80" w:rsidRPr="00BC3E80" w:rsidTr="009446CC">
        <w:tblPrEx>
          <w:jc w:val="left"/>
        </w:tblPrEx>
        <w:trPr>
          <w:gridAfter w:val="1"/>
          <w:wAfter w:w="93" w:type="dxa"/>
          <w:trHeight w:val="331"/>
        </w:trPr>
        <w:tc>
          <w:tcPr>
            <w:tcW w:w="897" w:type="dxa"/>
            <w:gridSpan w:val="2"/>
            <w:shd w:val="clear" w:color="auto" w:fill="D9D9D9" w:themeFill="background1" w:themeFillShade="D9"/>
            <w:tcMar>
              <w:top w:w="14" w:type="dxa"/>
              <w:left w:w="14" w:type="dxa"/>
              <w:bottom w:w="14" w:type="dxa"/>
              <w:right w:w="14" w:type="dxa"/>
            </w:tcMar>
          </w:tcPr>
          <w:p w:rsidR="00BC3E80" w:rsidRPr="00BC3E80" w:rsidRDefault="00BC3E80" w:rsidP="00BC3E80">
            <w:pPr>
              <w:spacing w:after="0" w:line="240" w:lineRule="auto"/>
              <w:ind w:left="-137" w:firstLine="137"/>
              <w:jc w:val="center"/>
              <w:rPr>
                <w:rFonts w:ascii="Arial" w:eastAsia="Arial" w:hAnsi="Arial" w:cs="Arial"/>
                <w:color w:val="000000"/>
                <w:sz w:val="22"/>
                <w:szCs w:val="22"/>
              </w:rPr>
            </w:pPr>
            <w:r w:rsidRPr="00BC3E80">
              <w:rPr>
                <w:rFonts w:ascii="Arial" w:eastAsia="Arial" w:hAnsi="Arial" w:cs="Arial"/>
                <w:noProof/>
                <w:color w:val="000000"/>
                <w:sz w:val="22"/>
                <w:szCs w:val="22"/>
              </w:rPr>
              <w:drawing>
                <wp:inline distT="114300" distB="114300" distL="114300" distR="114300" wp14:anchorId="4E0A08A8" wp14:editId="71FAF649">
                  <wp:extent cx="418147" cy="418147"/>
                  <wp:effectExtent l="0" t="0" r="0" b="0"/>
                  <wp:docPr id="11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3"/>
                          <a:srcRect/>
                          <a:stretch>
                            <a:fillRect/>
                          </a:stretch>
                        </pic:blipFill>
                        <pic:spPr>
                          <a:xfrm>
                            <a:off x="0" y="0"/>
                            <a:ext cx="418147" cy="418147"/>
                          </a:xfrm>
                          <a:prstGeom prst="rect">
                            <a:avLst/>
                          </a:prstGeom>
                          <a:ln/>
                        </pic:spPr>
                      </pic:pic>
                    </a:graphicData>
                  </a:graphic>
                </wp:inline>
              </w:drawing>
            </w:r>
          </w:p>
        </w:tc>
        <w:tc>
          <w:tcPr>
            <w:tcW w:w="9180" w:type="dxa"/>
            <w:gridSpan w:val="5"/>
            <w:shd w:val="clear" w:color="auto" w:fill="D9D9D9" w:themeFill="background1" w:themeFillShade="D9"/>
            <w:tcMar>
              <w:top w:w="100" w:type="dxa"/>
              <w:left w:w="100" w:type="dxa"/>
              <w:bottom w:w="100" w:type="dxa"/>
              <w:right w:w="100" w:type="dxa"/>
            </w:tcMar>
          </w:tcPr>
          <w:p w:rsidR="00BC3E80" w:rsidRPr="00BC3E80" w:rsidRDefault="00BC3E80" w:rsidP="00BC3E80">
            <w:pPr>
              <w:spacing w:after="0" w:line="240" w:lineRule="auto"/>
              <w:rPr>
                <w:rFonts w:ascii="Arial" w:eastAsia="Arial" w:hAnsi="Arial" w:cs="Arial"/>
                <w:b/>
                <w:sz w:val="22"/>
                <w:szCs w:val="22"/>
              </w:rPr>
            </w:pPr>
            <w:r w:rsidRPr="00BC3E80">
              <w:rPr>
                <w:rFonts w:ascii="Arial" w:eastAsia="Arial" w:hAnsi="Arial" w:cs="Arial"/>
                <w:b/>
                <w:sz w:val="22"/>
                <w:szCs w:val="22"/>
              </w:rPr>
              <w:t>Community Description of the Need</w:t>
            </w:r>
          </w:p>
          <w:p w:rsidR="00BC3E80" w:rsidRPr="00BC3E80" w:rsidRDefault="00BC3E80" w:rsidP="00BC3E80">
            <w:pPr>
              <w:spacing w:after="0" w:line="240" w:lineRule="auto"/>
              <w:rPr>
                <w:rFonts w:ascii="Arial" w:eastAsia="Arial" w:hAnsi="Arial" w:cs="Arial"/>
                <w:sz w:val="22"/>
                <w:szCs w:val="22"/>
              </w:rPr>
            </w:pPr>
          </w:p>
          <w:p w:rsidR="00BC3E80" w:rsidRPr="00BC3E80" w:rsidRDefault="00BC3E80" w:rsidP="00BC3E80">
            <w:pPr>
              <w:spacing w:after="0" w:line="240" w:lineRule="auto"/>
              <w:rPr>
                <w:rFonts w:ascii="Arial" w:eastAsia="Arial" w:hAnsi="Arial" w:cs="Arial"/>
                <w:sz w:val="22"/>
                <w:szCs w:val="22"/>
              </w:rPr>
            </w:pPr>
            <w:r w:rsidRPr="00BC3E80">
              <w:rPr>
                <w:rFonts w:ascii="Arial" w:eastAsia="Arial" w:hAnsi="Arial" w:cs="Arial"/>
                <w:sz w:val="22"/>
                <w:szCs w:val="22"/>
              </w:rPr>
              <w:t xml:space="preserve">Community members observed that there is greater community awareness of mental health and the stigma surrounding mental health issues. Community forum participants observed an increase in mental health services. However, access to mental health services and shortage of mental health providers were seen as barriers to addressing this health need. There is growing community awareness that mental health is an underlying driver for other health needs such as homelessness and substance abuse, specifically within vulnerable populations such as the youth and the elderly. However, access to mental health services, a shortage of mental health providers, and culturally competent care were seen as barriers to addressing this health need. </w:t>
            </w:r>
          </w:p>
          <w:p w:rsidR="00BC3E80" w:rsidRPr="00BC3E80" w:rsidRDefault="00BC3E80" w:rsidP="00BC3E80">
            <w:pPr>
              <w:spacing w:after="0" w:line="240" w:lineRule="auto"/>
              <w:rPr>
                <w:rFonts w:ascii="Arial" w:eastAsia="Arial" w:hAnsi="Arial" w:cs="Arial"/>
                <w:sz w:val="22"/>
                <w:szCs w:val="22"/>
              </w:rPr>
            </w:pPr>
          </w:p>
          <w:p w:rsidR="00BC3E80" w:rsidRPr="00BC3E80" w:rsidRDefault="00BC3E80" w:rsidP="00BC3E80">
            <w:pPr>
              <w:widowControl/>
              <w:numPr>
                <w:ilvl w:val="0"/>
                <w:numId w:val="40"/>
              </w:numPr>
              <w:spacing w:after="0" w:line="240" w:lineRule="auto"/>
              <w:rPr>
                <w:rFonts w:ascii="Arial" w:eastAsia="Arial" w:hAnsi="Arial" w:cs="Arial"/>
                <w:sz w:val="22"/>
                <w:szCs w:val="22"/>
              </w:rPr>
            </w:pPr>
            <w:r w:rsidRPr="00BC3E80">
              <w:rPr>
                <w:rFonts w:ascii="Arial" w:eastAsia="Arial" w:hAnsi="Arial" w:cs="Arial"/>
                <w:sz w:val="22"/>
                <w:szCs w:val="22"/>
              </w:rPr>
              <w:t>“The stigma associated with mental health is too much. In some cultures there is a lot of stigma attached to mental health. No family wants it to be known that a member of their family has mental issues…People see it like, ‘That family is weird.’”~Interviewee</w:t>
            </w:r>
          </w:p>
          <w:p w:rsidR="00BC3E80" w:rsidRPr="00BC3E80" w:rsidRDefault="00BC3E80" w:rsidP="00BC3E80">
            <w:pPr>
              <w:widowControl/>
              <w:spacing w:after="0"/>
              <w:rPr>
                <w:rFonts w:ascii="Arial" w:eastAsia="Arial" w:hAnsi="Arial" w:cs="Arial"/>
                <w:sz w:val="22"/>
                <w:szCs w:val="22"/>
              </w:rPr>
            </w:pPr>
          </w:p>
          <w:p w:rsidR="00BC3E80" w:rsidRPr="00BC3E80" w:rsidRDefault="00BC3E80" w:rsidP="00BC3E80">
            <w:pPr>
              <w:widowControl/>
              <w:spacing w:after="0"/>
              <w:rPr>
                <w:rFonts w:ascii="Arial" w:eastAsia="Arial" w:hAnsi="Arial" w:cs="Arial"/>
                <w:sz w:val="22"/>
                <w:szCs w:val="22"/>
              </w:rPr>
            </w:pPr>
          </w:p>
        </w:tc>
      </w:tr>
      <w:tr w:rsidR="00BC3E80" w:rsidRPr="00BC3E80" w:rsidTr="009446CC">
        <w:trPr>
          <w:gridBefore w:val="1"/>
          <w:wBefore w:w="45" w:type="dxa"/>
          <w:trHeight w:val="336"/>
          <w:jc w:val="center"/>
        </w:trPr>
        <w:tc>
          <w:tcPr>
            <w:tcW w:w="10080" w:type="dxa"/>
            <w:gridSpan w:val="7"/>
            <w:shd w:val="clear" w:color="auto" w:fill="D9D9D9" w:themeFill="background1" w:themeFillShade="D9"/>
          </w:tcPr>
          <w:p w:rsidR="004652D6" w:rsidRDefault="004652D6" w:rsidP="00BC3E80">
            <w:pPr>
              <w:spacing w:after="0" w:line="240" w:lineRule="auto"/>
              <w:rPr>
                <w:rFonts w:ascii="Arial" w:eastAsia="Arial" w:hAnsi="Arial" w:cs="Arial"/>
                <w:b/>
                <w:color w:val="000000"/>
                <w:sz w:val="22"/>
                <w:szCs w:val="22"/>
              </w:rPr>
            </w:pPr>
          </w:p>
          <w:p w:rsidR="00BC3E80" w:rsidRPr="00BC3E80" w:rsidRDefault="00BC3E80" w:rsidP="00BC3E80">
            <w:pPr>
              <w:spacing w:after="0" w:line="240" w:lineRule="auto"/>
              <w:rPr>
                <w:rFonts w:ascii="Arial" w:eastAsia="Arial" w:hAnsi="Arial" w:cs="Arial"/>
                <w:b/>
                <w:color w:val="000000"/>
                <w:sz w:val="22"/>
                <w:szCs w:val="22"/>
              </w:rPr>
            </w:pPr>
            <w:r w:rsidRPr="00BC3E80">
              <w:rPr>
                <w:rFonts w:ascii="Arial" w:eastAsia="Arial" w:hAnsi="Arial" w:cs="Arial"/>
                <w:b/>
                <w:color w:val="000000"/>
                <w:sz w:val="22"/>
                <w:szCs w:val="22"/>
              </w:rPr>
              <w:t>Resources</w:t>
            </w:r>
          </w:p>
          <w:p w:rsidR="00BC3E80" w:rsidRPr="00BC3E80" w:rsidRDefault="00BC3E80" w:rsidP="00BC3E80">
            <w:pPr>
              <w:spacing w:after="0" w:line="240" w:lineRule="auto"/>
              <w:rPr>
                <w:rFonts w:ascii="Arial" w:eastAsia="Arial" w:hAnsi="Arial" w:cs="Arial"/>
                <w:b/>
                <w:color w:val="000000"/>
                <w:sz w:val="22"/>
                <w:szCs w:val="22"/>
              </w:rPr>
            </w:pPr>
          </w:p>
          <w:p w:rsidR="00BC3E80" w:rsidRPr="00BC3E80" w:rsidRDefault="00BC3E80" w:rsidP="00BC3E80">
            <w:pPr>
              <w:spacing w:after="120" w:line="240" w:lineRule="auto"/>
              <w:rPr>
                <w:rFonts w:ascii="Arial" w:eastAsia="Arial" w:hAnsi="Arial" w:cs="Arial"/>
                <w:noProof/>
                <w:color w:val="000000"/>
                <w:sz w:val="22"/>
                <w:szCs w:val="22"/>
              </w:rPr>
            </w:pPr>
            <w:r w:rsidRPr="00BC3E80">
              <w:rPr>
                <w:rFonts w:ascii="Arial" w:eastAsia="Arial" w:hAnsi="Arial" w:cs="Arial"/>
                <w:color w:val="000000"/>
                <w:sz w:val="22"/>
                <w:szCs w:val="22"/>
              </w:rPr>
              <w:t>Community stakeholders identified the following as potential important community resources for mental health:</w:t>
            </w:r>
          </w:p>
        </w:tc>
      </w:tr>
      <w:tr w:rsidR="00BC3E80" w:rsidRPr="00BC3E80" w:rsidTr="009446CC">
        <w:trPr>
          <w:gridBefore w:val="1"/>
          <w:wBefore w:w="45" w:type="dxa"/>
          <w:trHeight w:val="228"/>
          <w:jc w:val="center"/>
        </w:trPr>
        <w:tc>
          <w:tcPr>
            <w:tcW w:w="4593" w:type="dxa"/>
            <w:gridSpan w:val="4"/>
            <w:shd w:val="clear" w:color="auto" w:fill="D9D9D9" w:themeFill="background1" w:themeFillShade="D9"/>
          </w:tcPr>
          <w:p w:rsidR="00BC3E80" w:rsidRPr="00BC3E80" w:rsidRDefault="00BC3E80" w:rsidP="00BC3E80">
            <w:pPr>
              <w:widowControl/>
              <w:spacing w:after="0" w:line="240" w:lineRule="auto"/>
              <w:ind w:left="720"/>
              <w:contextualSpacing/>
              <w:rPr>
                <w:rFonts w:ascii="Arial" w:eastAsia="Times New Roman" w:hAnsi="Arial" w:cs="Arial"/>
                <w:b/>
                <w:sz w:val="22"/>
                <w:szCs w:val="22"/>
              </w:rPr>
            </w:pPr>
            <w:r w:rsidRPr="00BC3E80">
              <w:rPr>
                <w:rFonts w:ascii="Arial" w:eastAsia="Times New Roman" w:hAnsi="Arial" w:cs="Arial"/>
                <w:b/>
                <w:sz w:val="22"/>
                <w:szCs w:val="22"/>
              </w:rPr>
              <w:t>KFH-Ontario Medical Center Service Area</w:t>
            </w:r>
          </w:p>
          <w:p w:rsidR="00BC3E80" w:rsidRPr="00BC3E80" w:rsidRDefault="00BC3E80" w:rsidP="00BC3E80">
            <w:pPr>
              <w:widowControl/>
              <w:numPr>
                <w:ilvl w:val="0"/>
                <w:numId w:val="37"/>
              </w:numPr>
              <w:spacing w:after="0" w:line="240" w:lineRule="auto"/>
              <w:contextualSpacing/>
              <w:rPr>
                <w:rFonts w:ascii="Arial" w:eastAsia="Times New Roman" w:hAnsi="Arial" w:cs="Arial"/>
                <w:sz w:val="22"/>
                <w:szCs w:val="22"/>
              </w:rPr>
            </w:pPr>
            <w:r w:rsidRPr="00BC3E80">
              <w:rPr>
                <w:rFonts w:ascii="Arial" w:eastAsia="Times New Roman" w:hAnsi="Arial" w:cs="Arial"/>
                <w:sz w:val="22"/>
                <w:szCs w:val="22"/>
              </w:rPr>
              <w:t>Department of Behavioral Health (DBH)</w:t>
            </w:r>
          </w:p>
          <w:p w:rsidR="00BC3E80" w:rsidRPr="00BC3E80" w:rsidRDefault="00BC3E80" w:rsidP="00BC3E80">
            <w:pPr>
              <w:widowControl/>
              <w:numPr>
                <w:ilvl w:val="0"/>
                <w:numId w:val="37"/>
              </w:numPr>
              <w:spacing w:after="0" w:line="240" w:lineRule="auto"/>
              <w:contextualSpacing/>
              <w:rPr>
                <w:rFonts w:ascii="Arial" w:eastAsia="Times New Roman" w:hAnsi="Arial" w:cs="Arial"/>
                <w:sz w:val="22"/>
                <w:szCs w:val="22"/>
              </w:rPr>
            </w:pPr>
            <w:r w:rsidRPr="00BC3E80">
              <w:rPr>
                <w:rFonts w:ascii="Arial" w:eastAsia="Times New Roman" w:hAnsi="Arial" w:cs="Arial"/>
                <w:sz w:val="22"/>
                <w:szCs w:val="22"/>
              </w:rPr>
              <w:t>El Sol Neighborhood Education Centers</w:t>
            </w:r>
          </w:p>
          <w:p w:rsidR="00BC3E80" w:rsidRPr="00BC3E80" w:rsidRDefault="00BC3E80" w:rsidP="00BC3E80">
            <w:pPr>
              <w:widowControl/>
              <w:numPr>
                <w:ilvl w:val="0"/>
                <w:numId w:val="37"/>
              </w:numPr>
              <w:spacing w:after="0" w:line="240" w:lineRule="auto"/>
              <w:contextualSpacing/>
              <w:rPr>
                <w:rFonts w:ascii="Arial" w:eastAsia="Times New Roman" w:hAnsi="Arial" w:cs="Arial"/>
                <w:sz w:val="22"/>
                <w:szCs w:val="22"/>
              </w:rPr>
            </w:pPr>
            <w:r w:rsidRPr="00BC3E80">
              <w:rPr>
                <w:rFonts w:ascii="Arial" w:eastAsia="Times New Roman" w:hAnsi="Arial" w:cs="Arial"/>
                <w:sz w:val="22"/>
                <w:szCs w:val="22"/>
              </w:rPr>
              <w:t xml:space="preserve">Inland Empire Health Plan (IEHP) Behavioral Health </w:t>
            </w:r>
          </w:p>
          <w:p w:rsidR="00BC3E80" w:rsidRPr="00BC3E80" w:rsidRDefault="00BC3E80" w:rsidP="00BC3E80">
            <w:pPr>
              <w:widowControl/>
              <w:numPr>
                <w:ilvl w:val="0"/>
                <w:numId w:val="37"/>
              </w:numPr>
              <w:spacing w:after="0" w:line="240" w:lineRule="auto"/>
              <w:contextualSpacing/>
              <w:rPr>
                <w:rFonts w:ascii="Arial" w:eastAsia="Times New Roman" w:hAnsi="Arial" w:cs="Arial"/>
                <w:sz w:val="22"/>
                <w:szCs w:val="22"/>
              </w:rPr>
            </w:pPr>
            <w:r w:rsidRPr="00BC3E80">
              <w:rPr>
                <w:rFonts w:ascii="Arial" w:eastAsia="Times New Roman" w:hAnsi="Arial" w:cs="Arial"/>
                <w:sz w:val="22"/>
                <w:szCs w:val="22"/>
              </w:rPr>
              <w:t>Kaiser Permanente Behavioral Health</w:t>
            </w:r>
          </w:p>
          <w:p w:rsidR="00BC3E80" w:rsidRPr="00BC3E80" w:rsidRDefault="00BC3E80" w:rsidP="00BC3E80">
            <w:pPr>
              <w:widowControl/>
              <w:numPr>
                <w:ilvl w:val="0"/>
                <w:numId w:val="37"/>
              </w:numPr>
              <w:spacing w:after="0" w:line="240" w:lineRule="auto"/>
              <w:contextualSpacing/>
              <w:rPr>
                <w:rFonts w:ascii="Arial" w:eastAsia="Times New Roman" w:hAnsi="Arial" w:cs="Arial"/>
                <w:sz w:val="22"/>
                <w:szCs w:val="22"/>
              </w:rPr>
            </w:pPr>
            <w:r w:rsidRPr="00BC3E80">
              <w:rPr>
                <w:rFonts w:ascii="Arial" w:eastAsia="Times New Roman" w:hAnsi="Arial" w:cs="Arial"/>
                <w:sz w:val="22"/>
                <w:szCs w:val="22"/>
              </w:rPr>
              <w:t>Mission City Community Clinics</w:t>
            </w:r>
          </w:p>
          <w:p w:rsidR="00BC3E80" w:rsidRPr="00BC3E80" w:rsidRDefault="00BC3E80" w:rsidP="00BC3E80">
            <w:pPr>
              <w:widowControl/>
              <w:numPr>
                <w:ilvl w:val="0"/>
                <w:numId w:val="37"/>
              </w:numPr>
              <w:spacing w:after="0" w:line="240" w:lineRule="auto"/>
              <w:contextualSpacing/>
              <w:rPr>
                <w:rFonts w:ascii="Arial" w:eastAsia="Times New Roman" w:hAnsi="Arial" w:cs="Arial"/>
                <w:sz w:val="22"/>
                <w:szCs w:val="22"/>
              </w:rPr>
            </w:pPr>
            <w:r w:rsidRPr="00BC3E80">
              <w:rPr>
                <w:rFonts w:ascii="Arial" w:eastAsia="Times New Roman" w:hAnsi="Arial" w:cs="Arial"/>
                <w:sz w:val="22"/>
                <w:szCs w:val="22"/>
              </w:rPr>
              <w:t>Molina Healthcare Behavioral Health</w:t>
            </w:r>
          </w:p>
          <w:p w:rsidR="00BC3E80" w:rsidRPr="00BC3E80" w:rsidRDefault="00BC3E80" w:rsidP="00BC3E80">
            <w:pPr>
              <w:widowControl/>
              <w:numPr>
                <w:ilvl w:val="0"/>
                <w:numId w:val="37"/>
              </w:numPr>
              <w:spacing w:after="0" w:line="240" w:lineRule="auto"/>
              <w:contextualSpacing/>
              <w:rPr>
                <w:rFonts w:ascii="Arial" w:eastAsia="Times New Roman" w:hAnsi="Arial" w:cs="Arial"/>
                <w:sz w:val="22"/>
                <w:szCs w:val="22"/>
              </w:rPr>
            </w:pPr>
            <w:r w:rsidRPr="00BC3E80">
              <w:rPr>
                <w:rFonts w:ascii="Arial" w:eastAsia="Times New Roman" w:hAnsi="Arial" w:cs="Arial"/>
                <w:sz w:val="22"/>
                <w:szCs w:val="22"/>
              </w:rPr>
              <w:t>National Alliance on Mental Illness (NAMI)</w:t>
            </w:r>
          </w:p>
          <w:p w:rsidR="00BC3E80" w:rsidRPr="00BC3E80" w:rsidRDefault="00BC3E80" w:rsidP="00BC3E80">
            <w:pPr>
              <w:widowControl/>
              <w:numPr>
                <w:ilvl w:val="0"/>
                <w:numId w:val="37"/>
              </w:numPr>
              <w:spacing w:after="0" w:line="240" w:lineRule="auto"/>
              <w:contextualSpacing/>
              <w:rPr>
                <w:rFonts w:ascii="Arial" w:eastAsia="Times New Roman" w:hAnsi="Arial" w:cs="Arial"/>
                <w:sz w:val="22"/>
                <w:szCs w:val="22"/>
              </w:rPr>
            </w:pPr>
            <w:r w:rsidRPr="00BC3E80">
              <w:rPr>
                <w:rFonts w:ascii="Arial" w:eastAsia="Times New Roman" w:hAnsi="Arial" w:cs="Arial"/>
                <w:sz w:val="22"/>
                <w:szCs w:val="22"/>
              </w:rPr>
              <w:t>Ontario/Montclair School District</w:t>
            </w:r>
          </w:p>
          <w:p w:rsidR="00BC3E80" w:rsidRPr="00BC3E80" w:rsidRDefault="00BC3E80" w:rsidP="00BC3E80">
            <w:pPr>
              <w:widowControl/>
              <w:spacing w:after="0" w:line="240" w:lineRule="auto"/>
              <w:ind w:left="720"/>
              <w:contextualSpacing/>
              <w:rPr>
                <w:rFonts w:ascii="Arial" w:eastAsia="Times New Roman" w:hAnsi="Arial" w:cs="Arial"/>
                <w:sz w:val="22"/>
                <w:szCs w:val="22"/>
              </w:rPr>
            </w:pPr>
          </w:p>
        </w:tc>
        <w:tc>
          <w:tcPr>
            <w:tcW w:w="5487" w:type="dxa"/>
            <w:gridSpan w:val="3"/>
            <w:shd w:val="clear" w:color="auto" w:fill="D9D9D9" w:themeFill="background1" w:themeFillShade="D9"/>
          </w:tcPr>
          <w:p w:rsidR="00BC3E80" w:rsidRPr="00BC3E80" w:rsidRDefault="00BC3E80" w:rsidP="00BC3E80">
            <w:pPr>
              <w:widowControl/>
              <w:spacing w:after="0" w:line="240" w:lineRule="auto"/>
              <w:ind w:left="720"/>
              <w:contextualSpacing/>
              <w:rPr>
                <w:rFonts w:ascii="Arial" w:eastAsia="Times New Roman" w:hAnsi="Arial" w:cs="Arial"/>
                <w:b/>
                <w:noProof/>
                <w:sz w:val="22"/>
                <w:szCs w:val="22"/>
              </w:rPr>
            </w:pPr>
            <w:r w:rsidRPr="00BC3E80">
              <w:rPr>
                <w:rFonts w:ascii="Arial" w:eastAsia="Times New Roman" w:hAnsi="Arial" w:cs="Arial"/>
                <w:b/>
                <w:noProof/>
                <w:sz w:val="22"/>
                <w:szCs w:val="22"/>
              </w:rPr>
              <w:t>KFH-Fontana Medical Center Service Area</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Catholic Charities</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Cedar House Recovery Center</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DBH Crisis Clinics</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El Sol Neighbohood Education Centers</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Family Resource Centers</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Fonzell Center</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Hearts &amp; Lives (Mountains Region)</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Inland Communities Recovery Center</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Inland Temporary Housing</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Inland Valley Recovery Services</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Lutheran Social Services</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NAMI</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RIM Family Services</w:t>
            </w:r>
          </w:p>
          <w:p w:rsidR="00BC3E80" w:rsidRPr="00BC3E80" w:rsidRDefault="00BC3E80" w:rsidP="00BC3E80">
            <w:pPr>
              <w:widowControl/>
              <w:numPr>
                <w:ilvl w:val="0"/>
                <w:numId w:val="37"/>
              </w:numPr>
              <w:spacing w:after="0" w:line="240" w:lineRule="auto"/>
              <w:contextualSpacing/>
              <w:rPr>
                <w:rFonts w:ascii="Arial" w:eastAsia="Times New Roman" w:hAnsi="Arial" w:cs="Arial"/>
                <w:noProof/>
                <w:sz w:val="22"/>
                <w:szCs w:val="22"/>
              </w:rPr>
            </w:pPr>
            <w:r w:rsidRPr="00BC3E80">
              <w:rPr>
                <w:rFonts w:ascii="Arial" w:eastAsia="Times New Roman" w:hAnsi="Arial" w:cs="Arial"/>
                <w:noProof/>
                <w:sz w:val="22"/>
                <w:szCs w:val="22"/>
              </w:rPr>
              <w:t>Time for Change Resource Center</w:t>
            </w:r>
          </w:p>
        </w:tc>
      </w:tr>
      <w:tr w:rsidR="00BC3E80" w:rsidRPr="00BC3E80" w:rsidTr="009446CC">
        <w:trPr>
          <w:gridBefore w:val="1"/>
          <w:wBefore w:w="45" w:type="dxa"/>
          <w:trHeight w:val="216"/>
          <w:jc w:val="center"/>
        </w:trPr>
        <w:tc>
          <w:tcPr>
            <w:tcW w:w="10080" w:type="dxa"/>
            <w:gridSpan w:val="7"/>
            <w:shd w:val="clear" w:color="auto" w:fill="D9D9D9" w:themeFill="background1" w:themeFillShade="D9"/>
          </w:tcPr>
          <w:p w:rsidR="00BC3E80" w:rsidRPr="00BC3E80" w:rsidRDefault="00BC3E80" w:rsidP="00BC3E80">
            <w:pPr>
              <w:tabs>
                <w:tab w:val="left" w:pos="1656"/>
              </w:tabs>
              <w:spacing w:after="0" w:line="240" w:lineRule="auto"/>
              <w:rPr>
                <w:rFonts w:ascii="Arial" w:eastAsia="Arial" w:hAnsi="Arial" w:cs="Arial"/>
                <w:b/>
                <w:noProof/>
                <w:color w:val="000000"/>
                <w:sz w:val="22"/>
                <w:szCs w:val="22"/>
              </w:rPr>
            </w:pPr>
          </w:p>
          <w:p w:rsidR="00BC3E80" w:rsidRPr="00BC3E80" w:rsidRDefault="00BC3E80" w:rsidP="00BC3E80">
            <w:pPr>
              <w:tabs>
                <w:tab w:val="left" w:pos="1656"/>
              </w:tabs>
              <w:spacing w:after="0" w:line="240" w:lineRule="auto"/>
              <w:rPr>
                <w:rFonts w:ascii="Arial" w:eastAsia="Arial" w:hAnsi="Arial" w:cs="Arial"/>
                <w:b/>
                <w:noProof/>
                <w:color w:val="000000"/>
                <w:sz w:val="22"/>
                <w:szCs w:val="22"/>
              </w:rPr>
            </w:pPr>
            <w:r w:rsidRPr="00BC3E80">
              <w:rPr>
                <w:rFonts w:ascii="Arial" w:eastAsia="Arial" w:hAnsi="Arial" w:cs="Arial"/>
                <w:b/>
                <w:noProof/>
                <w:color w:val="000000"/>
                <w:sz w:val="22"/>
                <w:szCs w:val="22"/>
              </w:rPr>
              <w:t>Strategies, Programs and Opportunities</w:t>
            </w:r>
          </w:p>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color w:val="000000"/>
                <w:sz w:val="22"/>
                <w:szCs w:val="22"/>
              </w:rPr>
              <w:t xml:space="preserve"> </w:t>
            </w:r>
          </w:p>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b/>
                <w:color w:val="000000"/>
                <w:sz w:val="22"/>
                <w:szCs w:val="22"/>
              </w:rPr>
              <w:t>Efforts to reducing stigma</w:t>
            </w:r>
            <w:r w:rsidRPr="00BC3E80">
              <w:rPr>
                <w:rFonts w:ascii="Arial" w:eastAsia="Arial" w:hAnsi="Arial" w:cs="Arial"/>
                <w:color w:val="000000"/>
                <w:sz w:val="22"/>
                <w:szCs w:val="22"/>
              </w:rPr>
              <w:t xml:space="preserve">: In the </w:t>
            </w:r>
            <w:r w:rsidRPr="00BC3E80">
              <w:rPr>
                <w:rFonts w:ascii="Arial" w:eastAsia="Arial" w:hAnsi="Arial" w:cs="Arial"/>
                <w:b/>
                <w:color w:val="000000"/>
                <w:sz w:val="22"/>
                <w:szCs w:val="22"/>
              </w:rPr>
              <w:t>Central Region</w:t>
            </w:r>
            <w:r w:rsidRPr="00BC3E80">
              <w:rPr>
                <w:rFonts w:ascii="Arial" w:eastAsia="Arial" w:hAnsi="Arial" w:cs="Arial"/>
                <w:color w:val="000000"/>
                <w:sz w:val="22"/>
                <w:szCs w:val="22"/>
              </w:rPr>
              <w:t xml:space="preserve">, there has been a concerted effort to increase community awareness about mental health issues and reduce stigma in the community. Community forum participants mentioned an increase in educational commercials that contribute to reducing the perception of mental health as a taboo topic. Thus, empowering community members to seek health services to help them cope with symptoms. </w:t>
            </w:r>
          </w:p>
          <w:p w:rsidR="00BC3E80" w:rsidRPr="00BC3E80" w:rsidRDefault="00BC3E80" w:rsidP="00BC3E80">
            <w:pPr>
              <w:spacing w:after="0" w:line="240" w:lineRule="auto"/>
              <w:rPr>
                <w:rFonts w:ascii="Arial" w:eastAsia="Arial" w:hAnsi="Arial" w:cs="Arial"/>
                <w:color w:val="000000"/>
                <w:sz w:val="22"/>
                <w:szCs w:val="22"/>
              </w:rPr>
            </w:pPr>
          </w:p>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b/>
                <w:color w:val="000000"/>
                <w:sz w:val="22"/>
                <w:szCs w:val="22"/>
              </w:rPr>
              <w:t>Telemedicine to reduce wait-times:</w:t>
            </w:r>
            <w:r w:rsidRPr="00BC3E80">
              <w:rPr>
                <w:rFonts w:ascii="Arial" w:eastAsia="Arial" w:hAnsi="Arial" w:cs="Arial"/>
                <w:color w:val="000000"/>
                <w:sz w:val="22"/>
                <w:szCs w:val="22"/>
              </w:rPr>
              <w:t xml:space="preserve"> The </w:t>
            </w:r>
            <w:r w:rsidRPr="00BC3E80">
              <w:rPr>
                <w:rFonts w:ascii="Arial" w:eastAsia="Arial" w:hAnsi="Arial" w:cs="Arial"/>
                <w:b/>
                <w:color w:val="000000"/>
                <w:sz w:val="22"/>
                <w:szCs w:val="22"/>
              </w:rPr>
              <w:t>West End</w:t>
            </w:r>
            <w:r w:rsidRPr="00BC3E80">
              <w:rPr>
                <w:rFonts w:ascii="Arial" w:eastAsia="Arial" w:hAnsi="Arial" w:cs="Arial"/>
                <w:color w:val="000000"/>
                <w:sz w:val="22"/>
                <w:szCs w:val="22"/>
              </w:rPr>
              <w:t xml:space="preserve"> is experiencing a lack of service providers and is currently unable to meet the mental health service demand. Consequently, some providers are utilizing telemedicine as a means of linking individuals to care in order to address the 3 month average wait time to be seen by a mental health care provider. Telemedicine services are offered in both English and Spanish. Although this is an innovate means of circumventing the mental health provider shortage, transportation to the clinic that offers this service still remains a barrier to receiving care for some individuals. </w:t>
            </w:r>
          </w:p>
          <w:p w:rsidR="00BC3E80" w:rsidRPr="00BC3E80" w:rsidRDefault="00BC3E80" w:rsidP="00BC3E80">
            <w:pPr>
              <w:spacing w:after="0" w:line="240" w:lineRule="auto"/>
              <w:rPr>
                <w:rFonts w:ascii="Arial" w:eastAsia="Arial" w:hAnsi="Arial" w:cs="Arial"/>
                <w:b/>
                <w:color w:val="000000"/>
                <w:sz w:val="22"/>
                <w:szCs w:val="22"/>
              </w:rPr>
            </w:pPr>
          </w:p>
          <w:p w:rsidR="00BC3E80" w:rsidRPr="00BC3E80" w:rsidRDefault="00BC3E80" w:rsidP="00BC3E80">
            <w:pPr>
              <w:tabs>
                <w:tab w:val="left" w:pos="1656"/>
              </w:tabs>
              <w:spacing w:after="0" w:line="240" w:lineRule="auto"/>
              <w:rPr>
                <w:rFonts w:ascii="Arial" w:eastAsia="Arial" w:hAnsi="Arial" w:cs="Arial"/>
                <w:noProof/>
                <w:color w:val="000000"/>
                <w:sz w:val="22"/>
                <w:szCs w:val="22"/>
              </w:rPr>
            </w:pPr>
            <w:r w:rsidRPr="00BC3E80">
              <w:rPr>
                <w:rFonts w:ascii="Arial" w:eastAsia="Arial" w:hAnsi="Arial" w:cs="Arial"/>
                <w:b/>
                <w:noProof/>
                <w:color w:val="000000"/>
                <w:sz w:val="22"/>
                <w:szCs w:val="22"/>
              </w:rPr>
              <w:t>Cedar House Life Change Center</w:t>
            </w:r>
            <w:r w:rsidRPr="00BC3E80">
              <w:rPr>
                <w:rFonts w:ascii="Arial" w:eastAsia="Arial" w:hAnsi="Arial" w:cs="Arial"/>
                <w:noProof/>
                <w:color w:val="000000"/>
                <w:sz w:val="22"/>
                <w:szCs w:val="22"/>
              </w:rPr>
              <w:t xml:space="preserve"> provides in-patient substance abuse treatment for adults and a special program to meet the needs of pregnant women. Financial assitance is available for low-income individuals and through some specialized programs.</w:t>
            </w:r>
          </w:p>
          <w:p w:rsidR="00BC3E80" w:rsidRPr="00BC3E80" w:rsidRDefault="00BC3E80" w:rsidP="00BC3E80">
            <w:pPr>
              <w:tabs>
                <w:tab w:val="left" w:pos="1656"/>
              </w:tabs>
              <w:spacing w:after="0" w:line="240" w:lineRule="auto"/>
              <w:rPr>
                <w:rFonts w:ascii="Arial" w:eastAsia="Arial" w:hAnsi="Arial" w:cs="Arial"/>
                <w:noProof/>
                <w:color w:val="000000"/>
                <w:sz w:val="22"/>
                <w:szCs w:val="22"/>
              </w:rPr>
            </w:pPr>
          </w:p>
          <w:p w:rsidR="00BC3E80" w:rsidRPr="00BC3E80" w:rsidRDefault="00BC3E80" w:rsidP="00BC3E80">
            <w:pPr>
              <w:tabs>
                <w:tab w:val="left" w:pos="1656"/>
              </w:tabs>
              <w:spacing w:after="0" w:line="240" w:lineRule="auto"/>
              <w:rPr>
                <w:rFonts w:ascii="Arial" w:eastAsia="Arial" w:hAnsi="Arial" w:cs="Arial"/>
                <w:noProof/>
                <w:color w:val="000000"/>
                <w:sz w:val="22"/>
                <w:szCs w:val="22"/>
              </w:rPr>
            </w:pPr>
            <w:r w:rsidRPr="00BC3E80">
              <w:rPr>
                <w:rFonts w:ascii="Arial" w:eastAsia="Arial" w:hAnsi="Arial" w:cs="Arial"/>
                <w:b/>
                <w:noProof/>
                <w:color w:val="000000"/>
                <w:sz w:val="22"/>
                <w:szCs w:val="22"/>
              </w:rPr>
              <w:t>Inland Valley Recovery Services</w:t>
            </w:r>
            <w:r w:rsidRPr="00BC3E80">
              <w:rPr>
                <w:rFonts w:ascii="Arial" w:eastAsia="Arial" w:hAnsi="Arial" w:cs="Arial"/>
                <w:noProof/>
                <w:color w:val="000000"/>
                <w:sz w:val="22"/>
                <w:szCs w:val="22"/>
              </w:rPr>
              <w:t xml:space="preserve"> provides detox and recovery programs for adults and youth. Services include both residental and outpatient services. Specialized care is available for those with dual diagnoses of mental health and substance abuse issues. </w:t>
            </w:r>
          </w:p>
          <w:p w:rsidR="00BC3E80" w:rsidRPr="00BC3E80" w:rsidRDefault="00BC3E80" w:rsidP="00BC3E80">
            <w:pPr>
              <w:tabs>
                <w:tab w:val="left" w:pos="1656"/>
              </w:tabs>
              <w:spacing w:after="0" w:line="240" w:lineRule="auto"/>
              <w:rPr>
                <w:rFonts w:ascii="Arial" w:eastAsia="Arial" w:hAnsi="Arial" w:cs="Arial"/>
                <w:noProof/>
                <w:color w:val="000000"/>
                <w:sz w:val="22"/>
                <w:szCs w:val="22"/>
              </w:rPr>
            </w:pPr>
          </w:p>
          <w:p w:rsidR="00BC3E80" w:rsidRPr="00BC3E80" w:rsidRDefault="00BC3E80" w:rsidP="00BC3E80">
            <w:pPr>
              <w:tabs>
                <w:tab w:val="left" w:pos="1656"/>
              </w:tabs>
              <w:spacing w:after="0" w:line="240" w:lineRule="auto"/>
              <w:rPr>
                <w:rFonts w:ascii="Arial" w:eastAsia="Arial" w:hAnsi="Arial" w:cs="Arial"/>
                <w:noProof/>
                <w:color w:val="000000"/>
                <w:sz w:val="22"/>
                <w:szCs w:val="22"/>
              </w:rPr>
            </w:pPr>
            <w:r w:rsidRPr="00BC3E80">
              <w:rPr>
                <w:rFonts w:ascii="Arial" w:eastAsia="Arial" w:hAnsi="Arial" w:cs="Arial"/>
                <w:b/>
                <w:noProof/>
                <w:color w:val="000000"/>
                <w:sz w:val="22"/>
                <w:szCs w:val="22"/>
              </w:rPr>
              <w:t>Foothill AIDS Project</w:t>
            </w:r>
            <w:r w:rsidRPr="00BC3E80">
              <w:rPr>
                <w:rFonts w:ascii="Arial" w:eastAsia="Arial" w:hAnsi="Arial" w:cs="Arial"/>
                <w:noProof/>
                <w:color w:val="000000"/>
                <w:sz w:val="22"/>
                <w:szCs w:val="22"/>
              </w:rPr>
              <w:t xml:space="preserve"> provides integrated mental health and substance abuse services at their centers. Services include support groups and individual counseling. Staff are able to make referrals to more intensive treatment when requried.</w:t>
            </w:r>
          </w:p>
          <w:p w:rsidR="00BC3E80" w:rsidRPr="00BC3E80" w:rsidRDefault="00BC3E80" w:rsidP="00BC3E80">
            <w:pPr>
              <w:tabs>
                <w:tab w:val="left" w:pos="1656"/>
              </w:tabs>
              <w:spacing w:after="0" w:line="240" w:lineRule="auto"/>
              <w:rPr>
                <w:rFonts w:ascii="Arial" w:eastAsia="Arial" w:hAnsi="Arial" w:cs="Arial"/>
                <w:noProof/>
                <w:color w:val="000000"/>
                <w:sz w:val="22"/>
                <w:szCs w:val="22"/>
              </w:rPr>
            </w:pPr>
          </w:p>
          <w:p w:rsidR="00BC3E80" w:rsidRPr="00BC3E80" w:rsidRDefault="00BC3E80" w:rsidP="00BC3E80">
            <w:pPr>
              <w:spacing w:after="0" w:line="240" w:lineRule="auto"/>
              <w:rPr>
                <w:rFonts w:ascii="Arial" w:eastAsia="Arial" w:hAnsi="Arial" w:cs="Arial"/>
                <w:b/>
                <w:color w:val="000000"/>
                <w:sz w:val="22"/>
                <w:szCs w:val="22"/>
              </w:rPr>
            </w:pPr>
            <w:r w:rsidRPr="00BC3E80">
              <w:rPr>
                <w:rFonts w:ascii="Arial" w:eastAsia="Arial" w:hAnsi="Arial" w:cs="Arial"/>
                <w:b/>
                <w:color w:val="000000"/>
                <w:sz w:val="22"/>
                <w:szCs w:val="22"/>
              </w:rPr>
              <w:t>Collaborations</w:t>
            </w:r>
          </w:p>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color w:val="000000"/>
                <w:sz w:val="22"/>
                <w:szCs w:val="22"/>
              </w:rPr>
              <w:t xml:space="preserve">The </w:t>
            </w:r>
            <w:r w:rsidRPr="00BC3E80">
              <w:rPr>
                <w:rFonts w:ascii="Arial" w:eastAsia="Arial" w:hAnsi="Arial" w:cs="Arial"/>
                <w:b/>
                <w:color w:val="000000"/>
                <w:sz w:val="22"/>
                <w:szCs w:val="22"/>
              </w:rPr>
              <w:t>RIM Community Resource Network</w:t>
            </w:r>
            <w:r w:rsidRPr="00BC3E80">
              <w:rPr>
                <w:rFonts w:ascii="Arial" w:eastAsia="Arial" w:hAnsi="Arial" w:cs="Arial"/>
                <w:color w:val="000000"/>
                <w:sz w:val="22"/>
                <w:szCs w:val="22"/>
              </w:rPr>
              <w:t xml:space="preserve"> is a collaborative of pubic and community based service providers representing the Mountain Communities. The network includes organizations that provide counseling and case management and can make referrals to substance abuse treatment when necessary.</w:t>
            </w:r>
          </w:p>
          <w:p w:rsidR="00BC3E80" w:rsidRPr="00BC3E80" w:rsidRDefault="00BC3E80" w:rsidP="00BC3E80">
            <w:pPr>
              <w:spacing w:after="0" w:line="240" w:lineRule="auto"/>
              <w:rPr>
                <w:rFonts w:ascii="Arial" w:eastAsia="Arial" w:hAnsi="Arial" w:cs="Arial"/>
                <w:color w:val="000000"/>
                <w:sz w:val="22"/>
                <w:szCs w:val="22"/>
              </w:rPr>
            </w:pPr>
          </w:p>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color w:val="000000"/>
                <w:sz w:val="22"/>
                <w:szCs w:val="22"/>
              </w:rPr>
              <w:t xml:space="preserve">The </w:t>
            </w:r>
            <w:r w:rsidRPr="00BC3E80">
              <w:rPr>
                <w:rFonts w:ascii="Arial" w:eastAsia="Arial" w:hAnsi="Arial" w:cs="Arial"/>
                <w:b/>
                <w:color w:val="000000"/>
                <w:sz w:val="22"/>
                <w:szCs w:val="22"/>
              </w:rPr>
              <w:t xml:space="preserve">Inland Empire Community Collaborative (IECC) </w:t>
            </w:r>
            <w:r w:rsidRPr="00BC3E80">
              <w:rPr>
                <w:rFonts w:ascii="Arial" w:eastAsia="Arial" w:hAnsi="Arial" w:cs="Arial"/>
                <w:color w:val="000000"/>
                <w:sz w:val="22"/>
                <w:szCs w:val="22"/>
              </w:rPr>
              <w:t>is the result of two years of 13 non-profit agencies working together to strengthen our organizations and improve outcomes for individuals and communities throughout San Bernardino County. Each member organization in the IECC participated in a yearlong capacity building academy (CBA), including ongoing technical assistance and coaching. Each of the members has a sustainability plan which directly responds to the needs and priorities of our target audiences and local communities. Many member organizations provide mental health counseling and case management services to community members at free or low-cost.</w:t>
            </w:r>
          </w:p>
          <w:p w:rsidR="00BC3E80" w:rsidRPr="00BC3E80" w:rsidRDefault="00BC3E80" w:rsidP="00BC3E80">
            <w:pPr>
              <w:tabs>
                <w:tab w:val="left" w:pos="1656"/>
              </w:tabs>
              <w:spacing w:after="0" w:line="240" w:lineRule="auto"/>
              <w:rPr>
                <w:rFonts w:ascii="Arial" w:eastAsia="Arial" w:hAnsi="Arial" w:cs="Arial"/>
                <w:noProof/>
                <w:color w:val="000000"/>
                <w:sz w:val="22"/>
                <w:szCs w:val="22"/>
              </w:rPr>
            </w:pPr>
          </w:p>
          <w:p w:rsidR="00BC3E80" w:rsidRPr="00BC3E80" w:rsidRDefault="00BC3E80" w:rsidP="00BC3E80">
            <w:pPr>
              <w:spacing w:after="0" w:line="240" w:lineRule="auto"/>
              <w:rPr>
                <w:rFonts w:ascii="Arial" w:eastAsia="Arial" w:hAnsi="Arial" w:cs="Arial"/>
                <w:b/>
                <w:color w:val="000000"/>
                <w:sz w:val="22"/>
                <w:szCs w:val="22"/>
              </w:rPr>
            </w:pPr>
            <w:r w:rsidRPr="00BC3E80">
              <w:rPr>
                <w:rFonts w:ascii="Arial" w:eastAsia="Arial" w:hAnsi="Arial" w:cs="Arial"/>
                <w:b/>
                <w:color w:val="000000"/>
                <w:sz w:val="22"/>
                <w:szCs w:val="22"/>
              </w:rPr>
              <w:t>Community Education</w:t>
            </w:r>
          </w:p>
          <w:p w:rsidR="00BC3E80" w:rsidRPr="00BC3E80" w:rsidRDefault="00BC3E80" w:rsidP="00BC3E80">
            <w:pPr>
              <w:spacing w:after="0" w:line="240" w:lineRule="auto"/>
              <w:rPr>
                <w:rFonts w:ascii="Arial" w:eastAsia="Arial" w:hAnsi="Arial" w:cs="Arial"/>
                <w:color w:val="000000"/>
                <w:sz w:val="22"/>
                <w:szCs w:val="22"/>
              </w:rPr>
            </w:pPr>
            <w:r w:rsidRPr="00BC3E80">
              <w:rPr>
                <w:rFonts w:ascii="Arial" w:eastAsia="Arial" w:hAnsi="Arial" w:cs="Arial"/>
                <w:color w:val="000000"/>
                <w:sz w:val="22"/>
                <w:szCs w:val="22"/>
              </w:rPr>
              <w:t xml:space="preserve">The </w:t>
            </w:r>
            <w:r w:rsidRPr="00BC3E80">
              <w:rPr>
                <w:rFonts w:ascii="Arial" w:eastAsia="Arial" w:hAnsi="Arial" w:cs="Arial"/>
                <w:b/>
                <w:color w:val="000000"/>
                <w:sz w:val="22"/>
                <w:szCs w:val="22"/>
              </w:rPr>
              <w:t>Diocese of San Bernardino</w:t>
            </w:r>
            <w:r w:rsidRPr="00BC3E80">
              <w:rPr>
                <w:rFonts w:ascii="Arial" w:eastAsia="Arial" w:hAnsi="Arial" w:cs="Arial"/>
                <w:color w:val="000000"/>
                <w:sz w:val="22"/>
                <w:szCs w:val="22"/>
              </w:rPr>
              <w:t xml:space="preserve"> is hosts a multi-faith conference themed “Spirituality and Behavioral Health – A call to Awareness, Assessment and Advocacy.” The conference includes a number of public and private partners including Loma Linda University Medical Center; California State University, San Bernardino; Catholic Charities San Bernardino-Riverside; San Bernardino County Behavioral Health; Riverside County Behavioral Health; Christian Counseling Services, Redlands and National Alliance for Mental Illness (NAMI). The goal of the conference is to raise awareness about mental illness and treatment resources among clergy and those who work closely with them. </w:t>
            </w:r>
          </w:p>
          <w:p w:rsidR="00BC3E80" w:rsidRPr="00BC3E80" w:rsidRDefault="00BC3E80" w:rsidP="00BC3E80">
            <w:pPr>
              <w:spacing w:after="0" w:line="240" w:lineRule="auto"/>
              <w:rPr>
                <w:rFonts w:ascii="Arial" w:eastAsia="Arial" w:hAnsi="Arial" w:cs="Arial"/>
                <w:color w:val="000000"/>
                <w:sz w:val="22"/>
                <w:szCs w:val="22"/>
              </w:rPr>
            </w:pPr>
          </w:p>
          <w:p w:rsidR="00BC3E80" w:rsidRPr="00BC3E80" w:rsidRDefault="00BC3E80" w:rsidP="00BC3E80">
            <w:pPr>
              <w:widowControl/>
              <w:numPr>
                <w:ilvl w:val="0"/>
                <w:numId w:val="40"/>
              </w:numPr>
              <w:spacing w:after="0" w:line="240" w:lineRule="auto"/>
              <w:rPr>
                <w:rFonts w:ascii="Arial" w:eastAsia="Arial" w:hAnsi="Arial" w:cs="Arial"/>
                <w:color w:val="000000"/>
                <w:sz w:val="22"/>
                <w:szCs w:val="22"/>
              </w:rPr>
            </w:pPr>
            <w:r w:rsidRPr="00BC3E80">
              <w:rPr>
                <w:rFonts w:ascii="Arial" w:eastAsia="Arial" w:hAnsi="Arial" w:cs="Arial"/>
                <w:color w:val="000000"/>
                <w:sz w:val="22"/>
                <w:szCs w:val="22"/>
              </w:rPr>
              <w:t>“That’s the good thing in our community right now that the mental health experts are working with spiritual leaders.” ~Interviewee</w:t>
            </w:r>
          </w:p>
          <w:p w:rsidR="00BC3E80" w:rsidRPr="00BC3E80" w:rsidRDefault="00BC3E80" w:rsidP="00BC3E80">
            <w:pPr>
              <w:tabs>
                <w:tab w:val="left" w:pos="1656"/>
              </w:tabs>
              <w:spacing w:after="120" w:line="240" w:lineRule="auto"/>
              <w:rPr>
                <w:rFonts w:ascii="Arial" w:eastAsia="Arial" w:hAnsi="Arial" w:cs="Arial"/>
                <w:noProof/>
                <w:color w:val="000000"/>
                <w:sz w:val="22"/>
                <w:szCs w:val="22"/>
              </w:rPr>
            </w:pPr>
            <w:r w:rsidRPr="00BC3E80">
              <w:rPr>
                <w:rFonts w:ascii="Arial" w:eastAsia="Arial" w:hAnsi="Arial" w:cs="Arial"/>
                <w:b/>
                <w:color w:val="000000"/>
                <w:sz w:val="22"/>
                <w:szCs w:val="22"/>
              </w:rPr>
              <w:t>Education:</w:t>
            </w:r>
            <w:r w:rsidRPr="00BC3E80">
              <w:rPr>
                <w:rFonts w:ascii="Arial" w:eastAsia="Arial" w:hAnsi="Arial" w:cs="Arial"/>
                <w:color w:val="000000"/>
                <w:sz w:val="22"/>
                <w:szCs w:val="22"/>
              </w:rPr>
              <w:t xml:space="preserve"> NAMI, Tri-City, and El Sol Neighborhood Education Centers offer free mental health promotion services for community members.</w:t>
            </w:r>
          </w:p>
        </w:tc>
      </w:tr>
      <w:tr w:rsidR="00BC3E80" w:rsidRPr="00BC3E80" w:rsidTr="009446CC">
        <w:trPr>
          <w:gridBefore w:val="1"/>
          <w:wBefore w:w="45" w:type="dxa"/>
          <w:trHeight w:val="216"/>
          <w:jc w:val="center"/>
        </w:trPr>
        <w:tc>
          <w:tcPr>
            <w:tcW w:w="10080" w:type="dxa"/>
            <w:gridSpan w:val="7"/>
            <w:shd w:val="clear" w:color="auto" w:fill="D9D9D9" w:themeFill="background1" w:themeFillShade="D9"/>
          </w:tcPr>
          <w:p w:rsidR="00BC3E80" w:rsidRPr="00BC3E80" w:rsidRDefault="00BC3E80" w:rsidP="00BC3E80">
            <w:pPr>
              <w:tabs>
                <w:tab w:val="left" w:pos="1656"/>
              </w:tabs>
              <w:spacing w:after="0" w:line="240" w:lineRule="auto"/>
              <w:rPr>
                <w:rFonts w:ascii="Arial" w:eastAsia="Arial" w:hAnsi="Arial" w:cs="Arial"/>
                <w:b/>
                <w:noProof/>
                <w:color w:val="000000"/>
                <w:sz w:val="22"/>
                <w:szCs w:val="24"/>
              </w:rPr>
            </w:pPr>
            <w:r w:rsidRPr="00BC3E80">
              <w:rPr>
                <w:rFonts w:ascii="Arial" w:eastAsia="Arial" w:hAnsi="Arial" w:cs="Arial"/>
                <w:b/>
                <w:noProof/>
                <w:color w:val="000000"/>
                <w:sz w:val="22"/>
                <w:szCs w:val="24"/>
              </w:rPr>
              <w:t xml:space="preserve">Icons from </w:t>
            </w:r>
            <w:hyperlink r:id="rId44">
              <w:r w:rsidRPr="00BC3E80">
                <w:rPr>
                  <w:rFonts w:ascii="Arial" w:eastAsia="Arial" w:hAnsi="Arial" w:cs="Arial"/>
                  <w:b/>
                  <w:noProof/>
                  <w:color w:val="0000FF"/>
                  <w:sz w:val="22"/>
                  <w:szCs w:val="24"/>
                  <w:u w:val="single"/>
                </w:rPr>
                <w:t>The Noun Project</w:t>
              </w:r>
            </w:hyperlink>
            <w:r w:rsidRPr="00BC3E80">
              <w:rPr>
                <w:rFonts w:ascii="Arial" w:eastAsia="Arial" w:hAnsi="Arial" w:cs="Arial"/>
                <w:b/>
                <w:noProof/>
                <w:color w:val="000000"/>
                <w:sz w:val="22"/>
                <w:szCs w:val="24"/>
              </w:rPr>
              <w:t xml:space="preserve"> </w:t>
            </w:r>
          </w:p>
        </w:tc>
      </w:tr>
    </w:tbl>
    <w:p w:rsidR="004652D6" w:rsidRDefault="009446CC" w:rsidP="00BC3E80">
      <w:pPr>
        <w:ind w:right="-3600"/>
        <w:rPr>
          <w:rFonts w:ascii="Arial" w:eastAsia="Arial" w:hAnsi="Arial" w:cs="Arial"/>
          <w:sz w:val="32"/>
          <w:szCs w:val="32"/>
        </w:rPr>
      </w:pPr>
      <w:r>
        <w:rPr>
          <w:rFonts w:ascii="Arial" w:eastAsia="Arial" w:hAnsi="Arial" w:cs="Arial"/>
          <w:sz w:val="32"/>
          <w:szCs w:val="32"/>
        </w:rPr>
        <w:br w:type="page"/>
      </w:r>
    </w:p>
    <w:tbl>
      <w:tblPr>
        <w:tblW w:w="10180" w:type="dxa"/>
        <w:jc w:val="center"/>
        <w:tblLook w:val="0600" w:firstRow="0" w:lastRow="0" w:firstColumn="0" w:lastColumn="0" w:noHBand="1" w:noVBand="1"/>
      </w:tblPr>
      <w:tblGrid>
        <w:gridCol w:w="1160"/>
        <w:gridCol w:w="2757"/>
        <w:gridCol w:w="368"/>
        <w:gridCol w:w="1241"/>
        <w:gridCol w:w="5376"/>
      </w:tblGrid>
      <w:tr w:rsidR="009446CC" w:rsidRPr="009446CC" w:rsidTr="00DD3844">
        <w:trPr>
          <w:trHeight w:val="440"/>
          <w:jc w:val="center"/>
        </w:trPr>
        <w:tc>
          <w:tcPr>
            <w:tcW w:w="8664" w:type="dxa"/>
            <w:gridSpan w:val="5"/>
            <w:tcMar>
              <w:top w:w="100" w:type="dxa"/>
              <w:left w:w="100" w:type="dxa"/>
              <w:bottom w:w="100" w:type="dxa"/>
              <w:right w:w="100" w:type="dxa"/>
            </w:tcMar>
          </w:tcPr>
          <w:p w:rsidR="009446CC" w:rsidRPr="009446CC" w:rsidRDefault="009446CC" w:rsidP="009446CC">
            <w:pPr>
              <w:spacing w:after="120" w:line="240" w:lineRule="auto"/>
              <w:jc w:val="center"/>
              <w:outlineLvl w:val="1"/>
              <w:rPr>
                <w:rFonts w:ascii="Arial" w:eastAsia="Arial" w:hAnsi="Arial" w:cs="Arial"/>
                <w:color w:val="1F497D"/>
                <w:sz w:val="32"/>
                <w:szCs w:val="32"/>
              </w:rPr>
            </w:pPr>
            <w:bookmarkStart w:id="12" w:name="_Toc452498447"/>
            <w:r w:rsidRPr="009446CC">
              <w:rPr>
                <w:rFonts w:ascii="Arial" w:eastAsia="Arial" w:hAnsi="Arial" w:cs="Arial"/>
                <w:b/>
                <w:color w:val="1F497D"/>
                <w:sz w:val="32"/>
                <w:szCs w:val="32"/>
              </w:rPr>
              <w:t>Obesity/HEAL/Diabetes</w:t>
            </w:r>
            <w:bookmarkEnd w:id="12"/>
          </w:p>
          <w:p w:rsidR="009446CC" w:rsidRPr="009446CC" w:rsidRDefault="009446CC" w:rsidP="009446CC">
            <w:pPr>
              <w:spacing w:after="120" w:line="240" w:lineRule="auto"/>
              <w:rPr>
                <w:rFonts w:ascii="Arial" w:eastAsia="Calibri" w:hAnsi="Arial" w:cs="Arial"/>
                <w:sz w:val="22"/>
                <w:szCs w:val="22"/>
              </w:rPr>
            </w:pPr>
            <w:r w:rsidRPr="009446CC">
              <w:rPr>
                <w:rFonts w:ascii="Arial" w:eastAsia="Arial" w:hAnsi="Arial" w:cs="Arial"/>
                <w:b/>
                <w:color w:val="000000"/>
                <w:sz w:val="22"/>
                <w:szCs w:val="22"/>
              </w:rPr>
              <w:t>Description and Significance:</w:t>
            </w:r>
            <w:r w:rsidRPr="009446CC">
              <w:rPr>
                <w:rFonts w:ascii="Arial" w:eastAsia="Arial" w:hAnsi="Arial" w:cs="Arial"/>
                <w:color w:val="000000"/>
                <w:sz w:val="22"/>
                <w:szCs w:val="22"/>
              </w:rPr>
              <w:t xml:space="preserve"> </w:t>
            </w:r>
            <w:r w:rsidRPr="009446CC">
              <w:rPr>
                <w:rFonts w:ascii="Arial" w:eastAsia="Calibri" w:hAnsi="Arial" w:cs="Arial"/>
                <w:sz w:val="22"/>
                <w:szCs w:val="22"/>
              </w:rPr>
              <w:t xml:space="preserve">Overweight and obesity are defined using a person’s Body Mass Index (BMI) which is a ratio of a person’s weight to height. In the United States in 2011-2014, the prevalence of obesity was just over 36% in adults and 17% in youth (National Center for Health Statistics). </w:t>
            </w:r>
            <w:r w:rsidRPr="009446CC">
              <w:rPr>
                <w:rFonts w:ascii="Arial" w:eastAsia="Arial" w:hAnsi="Arial" w:cs="Arial"/>
                <w:sz w:val="22"/>
                <w:szCs w:val="22"/>
              </w:rPr>
              <w:t>Obesity is one of the biggest drivers of preventable chronic diseases in the U.S. with poor diet and lack of physical activity contributing to obesity. Being overweight or obese increases the risk for many health conditions, including type 2 diabetes, heart disease, stroke, hypertension, and cancer (County Health Rankings). Certain indicators, such as access to grocery stores and proximity to fast food restaurants, are important environmental factors when considering rates of overweight and obesity.</w:t>
            </w:r>
          </w:p>
          <w:p w:rsidR="009446CC" w:rsidRPr="009446CC" w:rsidRDefault="009446CC" w:rsidP="009446CC">
            <w:pPr>
              <w:spacing w:after="120" w:line="240" w:lineRule="auto"/>
              <w:rPr>
                <w:rFonts w:ascii="Arial" w:eastAsia="Arial" w:hAnsi="Arial" w:cs="Arial"/>
                <w:color w:val="000000"/>
                <w:sz w:val="22"/>
                <w:szCs w:val="22"/>
              </w:rPr>
            </w:pPr>
            <w:r w:rsidRPr="009446CC">
              <w:rPr>
                <w:rFonts w:ascii="Arial" w:eastAsia="Arial" w:hAnsi="Arial" w:cs="Arial"/>
                <w:sz w:val="22"/>
                <w:szCs w:val="22"/>
                <w:shd w:val="clear" w:color="auto" w:fill="FFFFFF"/>
              </w:rPr>
              <w:t xml:space="preserve">Diabetes occurs when the body cannot produce or respond appropriately to insulin. Insulin is a hormone that the body needs to absorb and use glucose (sugar) as fuel for the body’s cells. Without a properly functioning insulin signaling system, blood glucose levels become elevated and other metabolic abnormalities occur, leading to the development of serious, disabling complications. Diabetes affects an estimated 23.6 million people in the United States and is the 7th leading cause of death (Healthy People 2020). </w:t>
            </w:r>
            <w:r w:rsidRPr="009446CC">
              <w:rPr>
                <w:rFonts w:ascii="Arial" w:eastAsia="Arial" w:hAnsi="Arial" w:cs="Arial"/>
                <w:sz w:val="22"/>
                <w:szCs w:val="22"/>
              </w:rPr>
              <w:t>In California, diabetes was the seventh leading cause of death (California's Leading Causes of Death, 2013).</w:t>
            </w:r>
          </w:p>
        </w:tc>
      </w:tr>
      <w:tr w:rsidR="009446CC" w:rsidRPr="009446CC" w:rsidTr="00DD3844">
        <w:trPr>
          <w:trHeight w:val="400"/>
          <w:jc w:val="center"/>
        </w:trPr>
        <w:tc>
          <w:tcPr>
            <w:tcW w:w="8664" w:type="dxa"/>
            <w:gridSpan w:val="5"/>
            <w:shd w:val="clear" w:color="auto" w:fill="006D9D"/>
            <w:tcMar>
              <w:top w:w="57" w:type="dxa"/>
              <w:left w:w="57" w:type="dxa"/>
              <w:bottom w:w="57" w:type="dxa"/>
              <w:right w:w="57" w:type="dxa"/>
            </w:tcMar>
          </w:tcPr>
          <w:p w:rsidR="009446CC" w:rsidRPr="009446CC" w:rsidRDefault="009446CC" w:rsidP="009446CC">
            <w:pPr>
              <w:spacing w:after="120" w:line="240" w:lineRule="auto"/>
              <w:rPr>
                <w:rFonts w:ascii="Arial" w:eastAsia="Arial" w:hAnsi="Arial" w:cs="Arial"/>
                <w:color w:val="000000"/>
                <w:sz w:val="22"/>
                <w:szCs w:val="22"/>
              </w:rPr>
            </w:pPr>
            <w:r w:rsidRPr="009446CC">
              <w:rPr>
                <w:rFonts w:ascii="Arial" w:eastAsia="Arial" w:hAnsi="Arial" w:cs="Arial"/>
                <w:b/>
                <w:color w:val="FFFFFF"/>
                <w:sz w:val="32"/>
                <w:szCs w:val="32"/>
              </w:rPr>
              <w:t>Health Outcome Statistics</w:t>
            </w:r>
          </w:p>
        </w:tc>
      </w:tr>
      <w:tr w:rsidR="009446CC" w:rsidRPr="009446CC" w:rsidTr="00DD3844">
        <w:trPr>
          <w:trHeight w:val="800"/>
          <w:jc w:val="center"/>
        </w:trPr>
        <w:tc>
          <w:tcPr>
            <w:tcW w:w="914" w:type="dxa"/>
          </w:tcPr>
          <w:p w:rsidR="009446CC" w:rsidRPr="009446CC" w:rsidRDefault="009446CC" w:rsidP="009446CC">
            <w:pPr>
              <w:spacing w:after="120" w:line="240" w:lineRule="auto"/>
              <w:rPr>
                <w:rFonts w:ascii="Arial" w:eastAsia="Arial" w:hAnsi="Arial" w:cs="Arial"/>
                <w:color w:val="000000"/>
                <w:sz w:val="22"/>
                <w:szCs w:val="22"/>
              </w:rPr>
            </w:pPr>
            <w:r w:rsidRPr="009446CC">
              <w:rPr>
                <w:rFonts w:ascii="Arial" w:eastAsia="Arial" w:hAnsi="Arial" w:cs="Arial"/>
                <w:noProof/>
                <w:color w:val="000000"/>
                <w:sz w:val="22"/>
                <w:szCs w:val="22"/>
              </w:rPr>
              <w:drawing>
                <wp:anchor distT="0" distB="0" distL="114300" distR="114300" simplePos="0" relativeHeight="251670528" behindDoc="0" locked="0" layoutInCell="1" allowOverlap="1" wp14:anchorId="5C01504E" wp14:editId="3972AC15">
                  <wp:simplePos x="0" y="0"/>
                  <wp:positionH relativeFrom="column">
                    <wp:posOffset>7620</wp:posOffset>
                  </wp:positionH>
                  <wp:positionV relativeFrom="paragraph">
                    <wp:posOffset>-3810</wp:posOffset>
                  </wp:positionV>
                  <wp:extent cx="542925" cy="427355"/>
                  <wp:effectExtent l="0" t="0" r="9525" b="0"/>
                  <wp:wrapNone/>
                  <wp:docPr id="1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42925" cy="427355"/>
                          </a:xfrm>
                          <a:prstGeom prst="rect">
                            <a:avLst/>
                          </a:prstGeom>
                          <a:ln/>
                        </pic:spPr>
                      </pic:pic>
                    </a:graphicData>
                  </a:graphic>
                  <wp14:sizeRelH relativeFrom="page">
                    <wp14:pctWidth>0</wp14:pctWidth>
                  </wp14:sizeRelH>
                  <wp14:sizeRelV relativeFrom="page">
                    <wp14:pctHeight>0</wp14:pctHeight>
                  </wp14:sizeRelV>
                </wp:anchor>
              </w:drawing>
            </w:r>
          </w:p>
        </w:tc>
        <w:tc>
          <w:tcPr>
            <w:tcW w:w="2859" w:type="dxa"/>
            <w:gridSpan w:val="3"/>
          </w:tcPr>
          <w:p w:rsidR="009446CC" w:rsidRPr="009446CC" w:rsidRDefault="009446CC" w:rsidP="009446CC">
            <w:pPr>
              <w:spacing w:after="120" w:line="240" w:lineRule="auto"/>
              <w:jc w:val="center"/>
              <w:rPr>
                <w:rFonts w:ascii="Arial" w:eastAsia="Arial" w:hAnsi="Arial" w:cs="Arial"/>
                <w:b/>
                <w:color w:val="000000"/>
                <w:sz w:val="22"/>
                <w:szCs w:val="22"/>
              </w:rPr>
            </w:pPr>
            <w:r w:rsidRPr="009446CC">
              <w:rPr>
                <w:rFonts w:ascii="Arial" w:eastAsia="Arial" w:hAnsi="Arial" w:cs="Arial"/>
                <w:b/>
                <w:color w:val="000000"/>
                <w:sz w:val="60"/>
                <w:szCs w:val="60"/>
              </w:rPr>
              <w:t xml:space="preserve">  </w:t>
            </w:r>
          </w:p>
          <w:p w:rsidR="009446CC" w:rsidRPr="009446CC" w:rsidRDefault="009446CC" w:rsidP="009446CC">
            <w:pPr>
              <w:spacing w:after="120" w:line="240" w:lineRule="auto"/>
              <w:jc w:val="center"/>
              <w:rPr>
                <w:rFonts w:ascii="Arial" w:eastAsia="Arial" w:hAnsi="Arial" w:cs="Arial"/>
                <w:b/>
                <w:noProof/>
                <w:color w:val="000000"/>
                <w:sz w:val="22"/>
                <w:szCs w:val="24"/>
                <w:shd w:val="clear" w:color="auto" w:fill="49237A"/>
              </w:rPr>
            </w:pPr>
            <w:r w:rsidRPr="009446CC">
              <w:rPr>
                <w:rFonts w:ascii="Arial" w:eastAsia="Arial" w:hAnsi="Arial" w:cs="Arial"/>
                <w:b/>
                <w:color w:val="000000"/>
                <w:sz w:val="22"/>
                <w:szCs w:val="22"/>
              </w:rPr>
              <w:t xml:space="preserve">Adult Obesity and Overweight </w:t>
            </w:r>
          </w:p>
        </w:tc>
        <w:tc>
          <w:tcPr>
            <w:tcW w:w="4891" w:type="dxa"/>
            <w:vMerge w:val="restart"/>
          </w:tcPr>
          <w:p w:rsidR="009446CC" w:rsidRPr="009446CC" w:rsidRDefault="009446CC" w:rsidP="009446CC">
            <w:pPr>
              <w:spacing w:after="120" w:line="240" w:lineRule="auto"/>
              <w:rPr>
                <w:rFonts w:ascii="Arial" w:eastAsia="Arial" w:hAnsi="Arial" w:cs="Arial"/>
                <w:b/>
                <w:color w:val="000000"/>
                <w:sz w:val="22"/>
                <w:szCs w:val="22"/>
              </w:rPr>
            </w:pPr>
          </w:p>
          <w:p w:rsidR="009446CC" w:rsidRPr="009446CC" w:rsidRDefault="009446CC" w:rsidP="009446CC">
            <w:pPr>
              <w:spacing w:after="120" w:line="240" w:lineRule="auto"/>
              <w:jc w:val="center"/>
              <w:rPr>
                <w:rFonts w:ascii="Arial" w:eastAsia="Arial" w:hAnsi="Arial" w:cs="Arial"/>
                <w:b/>
                <w:color w:val="000000"/>
                <w:sz w:val="22"/>
                <w:szCs w:val="24"/>
              </w:rPr>
            </w:pPr>
          </w:p>
          <w:p w:rsidR="009446CC" w:rsidRPr="009446CC" w:rsidRDefault="009446CC" w:rsidP="009446CC">
            <w:pPr>
              <w:spacing w:after="120" w:line="240" w:lineRule="auto"/>
              <w:jc w:val="center"/>
              <w:rPr>
                <w:rFonts w:ascii="Arial" w:eastAsia="Arial" w:hAnsi="Arial" w:cs="Arial"/>
                <w:b/>
                <w:color w:val="000000"/>
                <w:sz w:val="22"/>
                <w:szCs w:val="24"/>
              </w:rPr>
            </w:pPr>
          </w:p>
          <w:p w:rsidR="009446CC" w:rsidRPr="009446CC" w:rsidRDefault="009446CC" w:rsidP="009446CC">
            <w:pPr>
              <w:spacing w:after="120" w:line="240" w:lineRule="auto"/>
              <w:jc w:val="center"/>
              <w:rPr>
                <w:rFonts w:ascii="Arial" w:eastAsia="Arial" w:hAnsi="Arial" w:cs="Arial"/>
                <w:b/>
                <w:color w:val="000000"/>
                <w:sz w:val="22"/>
                <w:szCs w:val="24"/>
              </w:rPr>
            </w:pPr>
          </w:p>
          <w:p w:rsidR="009446CC" w:rsidRPr="009446CC" w:rsidRDefault="009446CC" w:rsidP="009446CC">
            <w:pPr>
              <w:spacing w:after="120" w:line="240" w:lineRule="auto"/>
              <w:jc w:val="center"/>
              <w:rPr>
                <w:rFonts w:ascii="Arial" w:eastAsia="Arial" w:hAnsi="Arial" w:cs="Arial"/>
                <w:b/>
                <w:color w:val="000000"/>
                <w:sz w:val="22"/>
                <w:szCs w:val="24"/>
              </w:rPr>
            </w:pPr>
          </w:p>
          <w:p w:rsidR="009446CC" w:rsidRPr="009446CC" w:rsidRDefault="009446CC" w:rsidP="009446CC">
            <w:pPr>
              <w:spacing w:after="120" w:line="240" w:lineRule="auto"/>
              <w:jc w:val="center"/>
              <w:rPr>
                <w:rFonts w:ascii="Arial" w:eastAsia="Arial" w:hAnsi="Arial" w:cs="Arial"/>
                <w:b/>
                <w:color w:val="000000"/>
                <w:sz w:val="22"/>
                <w:szCs w:val="24"/>
              </w:rPr>
            </w:pPr>
          </w:p>
          <w:p w:rsidR="009446CC" w:rsidRPr="009446CC" w:rsidRDefault="009446CC" w:rsidP="009446CC">
            <w:pPr>
              <w:spacing w:after="120" w:line="240" w:lineRule="auto"/>
              <w:jc w:val="center"/>
              <w:rPr>
                <w:rFonts w:ascii="Arial" w:eastAsia="Arial" w:hAnsi="Arial" w:cs="Arial"/>
                <w:b/>
                <w:color w:val="000000"/>
                <w:sz w:val="22"/>
                <w:szCs w:val="24"/>
              </w:rPr>
            </w:pPr>
          </w:p>
          <w:p w:rsidR="009446CC" w:rsidRPr="009446CC" w:rsidRDefault="009446CC" w:rsidP="009446CC">
            <w:pPr>
              <w:spacing w:after="120" w:line="240" w:lineRule="auto"/>
              <w:rPr>
                <w:rFonts w:ascii="Arial" w:eastAsia="Arial" w:hAnsi="Arial" w:cs="Arial"/>
                <w:b/>
                <w:color w:val="000000"/>
                <w:sz w:val="22"/>
                <w:szCs w:val="24"/>
              </w:rPr>
            </w:pPr>
            <w:r w:rsidRPr="009446CC">
              <w:rPr>
                <w:rFonts w:ascii="Arial" w:eastAsia="Arial" w:hAnsi="Arial" w:cs="Arial"/>
                <w:color w:val="000000"/>
                <w:sz w:val="20"/>
                <w:szCs w:val="20"/>
              </w:rPr>
              <w:t>The KFH-Fontana/Ontario Medical Center Service Areas have higher adult obesity rates compared to the S CA MCA and state. A similar percentage of adults in the service areas, the S CA MCA and state are considered overweight.</w:t>
            </w:r>
          </w:p>
          <w:p w:rsidR="009446CC" w:rsidRPr="009446CC" w:rsidRDefault="009446CC" w:rsidP="009446CC">
            <w:pPr>
              <w:spacing w:after="120" w:line="240" w:lineRule="auto"/>
              <w:rPr>
                <w:rFonts w:ascii="Arial" w:eastAsia="Arial" w:hAnsi="Arial" w:cs="Arial"/>
                <w:b/>
                <w:color w:val="000000"/>
                <w:sz w:val="22"/>
                <w:szCs w:val="24"/>
              </w:rPr>
            </w:pPr>
          </w:p>
        </w:tc>
      </w:tr>
      <w:tr w:rsidR="009446CC" w:rsidRPr="009446CC" w:rsidTr="00DD3844">
        <w:trPr>
          <w:trHeight w:val="5021"/>
          <w:jc w:val="center"/>
        </w:trPr>
        <w:tc>
          <w:tcPr>
            <w:tcW w:w="3773" w:type="dxa"/>
            <w:gridSpan w:val="4"/>
          </w:tcPr>
          <w:p w:rsidR="009446CC" w:rsidRPr="009446CC" w:rsidRDefault="009446CC" w:rsidP="009446CC">
            <w:pPr>
              <w:spacing w:after="120" w:line="240" w:lineRule="auto"/>
              <w:rPr>
                <w:rFonts w:ascii="Arial" w:eastAsia="Arial" w:hAnsi="Arial" w:cs="Arial"/>
                <w:b/>
                <w:color w:val="000000"/>
                <w:sz w:val="22"/>
                <w:szCs w:val="22"/>
              </w:rPr>
            </w:pPr>
            <w:r w:rsidRPr="009446CC">
              <w:rPr>
                <w:rFonts w:ascii="Arial" w:eastAsia="Arial" w:hAnsi="Arial" w:cs="Arial"/>
                <w:b/>
                <w:noProof/>
                <w:color w:val="000000"/>
                <w:sz w:val="22"/>
                <w:szCs w:val="24"/>
                <w:shd w:val="clear" w:color="auto" w:fill="49237A"/>
              </w:rPr>
              <w:drawing>
                <wp:inline distT="0" distB="0" distL="0" distR="0" wp14:anchorId="7F40831B" wp14:editId="68F2AF12">
                  <wp:extent cx="3370997" cy="2934269"/>
                  <wp:effectExtent l="0" t="0" r="1270"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891" w:type="dxa"/>
            <w:vMerge/>
          </w:tcPr>
          <w:p w:rsidR="009446CC" w:rsidRPr="009446CC" w:rsidRDefault="009446CC" w:rsidP="009446CC">
            <w:pPr>
              <w:spacing w:after="120" w:line="240" w:lineRule="auto"/>
              <w:rPr>
                <w:rFonts w:ascii="Arial" w:eastAsia="Arial" w:hAnsi="Arial" w:cs="Arial"/>
                <w:color w:val="000000"/>
                <w:sz w:val="22"/>
                <w:szCs w:val="22"/>
              </w:rPr>
            </w:pPr>
          </w:p>
        </w:tc>
      </w:tr>
      <w:tr w:rsidR="009446CC" w:rsidRPr="009446CC" w:rsidTr="00DD3844">
        <w:trPr>
          <w:trHeight w:val="630"/>
          <w:jc w:val="center"/>
        </w:trPr>
        <w:tc>
          <w:tcPr>
            <w:tcW w:w="3773" w:type="dxa"/>
            <w:gridSpan w:val="4"/>
          </w:tcPr>
          <w:p w:rsidR="009446CC" w:rsidRPr="009446CC" w:rsidRDefault="009446CC" w:rsidP="009446CC">
            <w:pPr>
              <w:spacing w:after="120" w:line="240" w:lineRule="auto"/>
              <w:rPr>
                <w:rFonts w:ascii="Arial" w:eastAsia="Open Sans" w:hAnsi="Arial" w:cs="Arial"/>
                <w:i/>
                <w:iCs/>
                <w:color w:val="555555"/>
                <w:sz w:val="18"/>
                <w:szCs w:val="18"/>
              </w:rPr>
            </w:pPr>
            <w:r w:rsidRPr="009446CC">
              <w:rPr>
                <w:rFonts w:ascii="Arial" w:eastAsia="Open Sans" w:hAnsi="Arial" w:cs="Arial"/>
                <w:i/>
                <w:iCs/>
                <w:color w:val="555555"/>
                <w:sz w:val="18"/>
                <w:szCs w:val="18"/>
              </w:rPr>
              <w:t xml:space="preserve">Obesity Source: Centers for Disease Control and Prevention, </w:t>
            </w:r>
            <w:hyperlink r:id="rId46" w:tgtFrame="_blank" w:history="1">
              <w:r w:rsidRPr="009446CC">
                <w:rPr>
                  <w:rFonts w:ascii="Arial" w:eastAsia="Open Sans" w:hAnsi="Arial" w:cs="Arial"/>
                  <w:i/>
                  <w:iCs/>
                  <w:color w:val="555555"/>
                  <w:sz w:val="18"/>
                  <w:szCs w:val="18"/>
                </w:rPr>
                <w:t>Behavioral Risk Factor Surveillance System</w:t>
              </w:r>
            </w:hyperlink>
            <w:r w:rsidRPr="009446CC">
              <w:rPr>
                <w:rFonts w:ascii="Arial" w:eastAsia="Open Sans" w:hAnsi="Arial" w:cs="Arial"/>
                <w:i/>
                <w:iCs/>
                <w:color w:val="555555"/>
                <w:sz w:val="18"/>
                <w:szCs w:val="18"/>
              </w:rPr>
              <w:t xml:space="preserve">. Additional data analysis by </w:t>
            </w:r>
            <w:hyperlink r:id="rId47" w:tgtFrame="_blank" w:history="1">
              <w:r w:rsidRPr="009446CC">
                <w:rPr>
                  <w:rFonts w:ascii="Arial" w:eastAsia="Open Sans" w:hAnsi="Arial" w:cs="Arial"/>
                  <w:i/>
                  <w:iCs/>
                  <w:color w:val="555555"/>
                  <w:sz w:val="18"/>
                  <w:szCs w:val="18"/>
                </w:rPr>
                <w:t>CARES</w:t>
              </w:r>
            </w:hyperlink>
            <w:r w:rsidRPr="009446CC">
              <w:rPr>
                <w:rFonts w:ascii="Arial" w:eastAsia="Open Sans" w:hAnsi="Arial" w:cs="Arial"/>
                <w:i/>
                <w:iCs/>
                <w:color w:val="555555"/>
                <w:sz w:val="18"/>
                <w:szCs w:val="18"/>
              </w:rPr>
              <w:t>. 2011-12.</w:t>
            </w:r>
          </w:p>
          <w:p w:rsidR="009446CC" w:rsidRPr="009446CC" w:rsidRDefault="009446CC" w:rsidP="009446CC">
            <w:pPr>
              <w:spacing w:after="120" w:line="240" w:lineRule="auto"/>
              <w:rPr>
                <w:rFonts w:ascii="Arial" w:eastAsia="Arial" w:hAnsi="Arial" w:cs="Arial"/>
                <w:b/>
                <w:color w:val="000000"/>
                <w:sz w:val="22"/>
                <w:szCs w:val="24"/>
              </w:rPr>
            </w:pPr>
            <w:r w:rsidRPr="009446CC">
              <w:rPr>
                <w:rFonts w:ascii="Arial" w:eastAsia="Open Sans" w:hAnsi="Arial" w:cs="Arial"/>
                <w:i/>
                <w:iCs/>
                <w:color w:val="555555"/>
                <w:sz w:val="18"/>
                <w:szCs w:val="18"/>
              </w:rPr>
              <w:t xml:space="preserve">Overweight Source: Centers for Disease Control and Prevention, </w:t>
            </w:r>
            <w:hyperlink r:id="rId48" w:tgtFrame="_blank" w:history="1">
              <w:r w:rsidRPr="009446CC">
                <w:rPr>
                  <w:rFonts w:ascii="Arial" w:eastAsia="Open Sans" w:hAnsi="Arial" w:cs="Arial"/>
                  <w:i/>
                  <w:iCs/>
                  <w:color w:val="555555"/>
                  <w:sz w:val="18"/>
                  <w:szCs w:val="18"/>
                </w:rPr>
                <w:t>National Center for Chronic Disease Prevention and Health Promotion</w:t>
              </w:r>
            </w:hyperlink>
            <w:r w:rsidRPr="009446CC">
              <w:rPr>
                <w:rFonts w:ascii="Arial" w:eastAsia="Open Sans" w:hAnsi="Arial" w:cs="Arial"/>
                <w:i/>
                <w:iCs/>
                <w:color w:val="555555"/>
                <w:sz w:val="18"/>
                <w:szCs w:val="18"/>
              </w:rPr>
              <w:t>. 2012.</w:t>
            </w:r>
          </w:p>
        </w:tc>
        <w:tc>
          <w:tcPr>
            <w:tcW w:w="4891" w:type="dxa"/>
            <w:vMerge/>
          </w:tcPr>
          <w:p w:rsidR="009446CC" w:rsidRPr="009446CC" w:rsidRDefault="009446CC" w:rsidP="009446CC">
            <w:pPr>
              <w:spacing w:after="120" w:line="240" w:lineRule="auto"/>
              <w:rPr>
                <w:rFonts w:ascii="Arial" w:eastAsia="Arial" w:hAnsi="Arial" w:cs="Arial"/>
                <w:color w:val="000000"/>
                <w:sz w:val="22"/>
                <w:szCs w:val="22"/>
              </w:rPr>
            </w:pPr>
          </w:p>
        </w:tc>
      </w:tr>
      <w:tr w:rsidR="009446CC" w:rsidRPr="009446CC" w:rsidTr="00DD3844">
        <w:trPr>
          <w:trHeight w:val="630"/>
          <w:jc w:val="center"/>
        </w:trPr>
        <w:tc>
          <w:tcPr>
            <w:tcW w:w="3773" w:type="dxa"/>
            <w:gridSpan w:val="4"/>
          </w:tcPr>
          <w:p w:rsidR="009446CC" w:rsidRPr="009446CC" w:rsidRDefault="009446CC" w:rsidP="009446CC">
            <w:pPr>
              <w:spacing w:after="120" w:line="240" w:lineRule="auto"/>
              <w:jc w:val="center"/>
              <w:rPr>
                <w:rFonts w:ascii="Arial" w:eastAsia="Arial" w:hAnsi="Arial" w:cs="Arial"/>
                <w:b/>
                <w:color w:val="000000"/>
                <w:sz w:val="22"/>
                <w:szCs w:val="22"/>
              </w:rPr>
            </w:pPr>
            <w:r w:rsidRPr="009446CC">
              <w:rPr>
                <w:rFonts w:ascii="Arial" w:eastAsia="Arial" w:hAnsi="Arial" w:cs="Arial"/>
                <w:b/>
                <w:color w:val="000000"/>
                <w:sz w:val="22"/>
                <w:szCs w:val="22"/>
              </w:rPr>
              <w:t>Youth Obesity and Overweight</w:t>
            </w:r>
          </w:p>
          <w:tbl>
            <w:tblPr>
              <w:tblStyle w:val="TableGrid5"/>
              <w:tblW w:w="5109" w:type="dxa"/>
              <w:tblInd w:w="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1188"/>
              <w:gridCol w:w="1599"/>
            </w:tblGrid>
            <w:tr w:rsidR="009446CC" w:rsidRPr="009446CC" w:rsidTr="004652D6">
              <w:trPr>
                <w:trHeight w:val="233"/>
              </w:trPr>
              <w:tc>
                <w:tcPr>
                  <w:tcW w:w="2322" w:type="dxa"/>
                </w:tcPr>
                <w:p w:rsidR="009446CC" w:rsidRPr="009446CC" w:rsidRDefault="009446CC" w:rsidP="009446CC">
                  <w:pPr>
                    <w:widowControl/>
                    <w:spacing w:after="0" w:line="240" w:lineRule="auto"/>
                    <w:rPr>
                      <w:rFonts w:ascii="Arial" w:eastAsia="Calibri" w:hAnsi="Arial" w:cs="Arial"/>
                      <w:sz w:val="22"/>
                      <w:szCs w:val="22"/>
                    </w:rPr>
                  </w:pPr>
                </w:p>
              </w:tc>
              <w:tc>
                <w:tcPr>
                  <w:tcW w:w="1188" w:type="dxa"/>
                </w:tcPr>
                <w:p w:rsidR="009446CC" w:rsidRPr="009446CC" w:rsidRDefault="009446CC" w:rsidP="009446CC">
                  <w:pPr>
                    <w:widowControl/>
                    <w:spacing w:after="0" w:line="240" w:lineRule="auto"/>
                    <w:jc w:val="center"/>
                    <w:rPr>
                      <w:rFonts w:ascii="Arial" w:eastAsia="Calibri" w:hAnsi="Arial" w:cs="Arial"/>
                      <w:sz w:val="22"/>
                      <w:szCs w:val="22"/>
                    </w:rPr>
                  </w:pPr>
                  <w:r w:rsidRPr="009446CC">
                    <w:rPr>
                      <w:rFonts w:ascii="Arial" w:eastAsia="Calibri" w:hAnsi="Arial" w:cs="Arial"/>
                      <w:sz w:val="22"/>
                      <w:szCs w:val="22"/>
                    </w:rPr>
                    <w:t>Obesity</w:t>
                  </w:r>
                </w:p>
              </w:tc>
              <w:tc>
                <w:tcPr>
                  <w:tcW w:w="1599" w:type="dxa"/>
                </w:tcPr>
                <w:p w:rsidR="009446CC" w:rsidRPr="009446CC" w:rsidRDefault="009446CC" w:rsidP="009446CC">
                  <w:pPr>
                    <w:widowControl/>
                    <w:spacing w:after="0" w:line="240" w:lineRule="auto"/>
                    <w:jc w:val="center"/>
                    <w:rPr>
                      <w:rFonts w:ascii="Arial" w:eastAsia="Calibri" w:hAnsi="Arial" w:cs="Arial"/>
                      <w:sz w:val="22"/>
                      <w:szCs w:val="22"/>
                    </w:rPr>
                  </w:pPr>
                  <w:r w:rsidRPr="009446CC">
                    <w:rPr>
                      <w:rFonts w:ascii="Arial" w:eastAsia="Calibri" w:hAnsi="Arial" w:cs="Arial"/>
                      <w:sz w:val="22"/>
                      <w:szCs w:val="22"/>
                    </w:rPr>
                    <w:t>Overweight</w:t>
                  </w:r>
                </w:p>
                <w:p w:rsidR="009446CC" w:rsidRPr="009446CC" w:rsidRDefault="009446CC" w:rsidP="009446CC">
                  <w:pPr>
                    <w:widowControl/>
                    <w:spacing w:after="0" w:line="240" w:lineRule="auto"/>
                    <w:jc w:val="center"/>
                    <w:rPr>
                      <w:rFonts w:ascii="Arial" w:eastAsia="Calibri" w:hAnsi="Arial" w:cs="Arial"/>
                      <w:sz w:val="22"/>
                      <w:szCs w:val="22"/>
                    </w:rPr>
                  </w:pPr>
                </w:p>
              </w:tc>
            </w:tr>
            <w:tr w:rsidR="009446CC" w:rsidRPr="009446CC" w:rsidTr="004652D6">
              <w:trPr>
                <w:trHeight w:val="233"/>
              </w:trPr>
              <w:tc>
                <w:tcPr>
                  <w:tcW w:w="2322" w:type="dxa"/>
                </w:tcPr>
                <w:p w:rsidR="009446CC" w:rsidRPr="009446CC" w:rsidRDefault="009446CC" w:rsidP="009446CC">
                  <w:pPr>
                    <w:widowControl/>
                    <w:spacing w:after="0" w:line="240" w:lineRule="auto"/>
                    <w:rPr>
                      <w:rFonts w:ascii="Arial" w:eastAsia="Calibri" w:hAnsi="Arial" w:cs="Arial"/>
                      <w:sz w:val="22"/>
                      <w:szCs w:val="22"/>
                    </w:rPr>
                  </w:pPr>
                  <w:r w:rsidRPr="009446CC">
                    <w:rPr>
                      <w:rFonts w:ascii="Arial" w:eastAsia="Calibri" w:hAnsi="Arial" w:cs="Arial"/>
                      <w:sz w:val="22"/>
                      <w:szCs w:val="22"/>
                    </w:rPr>
                    <w:t>KFH-Fontana MCSA</w:t>
                  </w:r>
                </w:p>
              </w:tc>
              <w:tc>
                <w:tcPr>
                  <w:tcW w:w="1188" w:type="dxa"/>
                </w:tcPr>
                <w:p w:rsidR="009446CC" w:rsidRPr="009446CC" w:rsidRDefault="009446CC" w:rsidP="009446CC">
                  <w:pPr>
                    <w:widowControl/>
                    <w:spacing w:after="0" w:line="240" w:lineRule="auto"/>
                    <w:jc w:val="center"/>
                    <w:rPr>
                      <w:rFonts w:ascii="Arial" w:eastAsia="Calibri" w:hAnsi="Arial" w:cs="Arial"/>
                      <w:color w:val="FF0000"/>
                      <w:sz w:val="22"/>
                      <w:szCs w:val="22"/>
                    </w:rPr>
                  </w:pPr>
                  <w:r w:rsidRPr="009446CC">
                    <w:rPr>
                      <w:rFonts w:ascii="Arial" w:eastAsia="Calibri" w:hAnsi="Arial" w:cs="Arial"/>
                      <w:color w:val="FF0000"/>
                      <w:sz w:val="22"/>
                      <w:szCs w:val="22"/>
                    </w:rPr>
                    <w:t>22.0%</w:t>
                  </w:r>
                </w:p>
              </w:tc>
              <w:tc>
                <w:tcPr>
                  <w:tcW w:w="1599" w:type="dxa"/>
                </w:tcPr>
                <w:p w:rsidR="009446CC" w:rsidRPr="009446CC" w:rsidRDefault="009446CC" w:rsidP="009446CC">
                  <w:pPr>
                    <w:widowControl/>
                    <w:spacing w:after="0" w:line="240" w:lineRule="auto"/>
                    <w:jc w:val="center"/>
                    <w:rPr>
                      <w:rFonts w:ascii="Arial" w:eastAsia="Calibri" w:hAnsi="Arial" w:cs="Arial"/>
                      <w:color w:val="FF0000"/>
                      <w:sz w:val="22"/>
                      <w:szCs w:val="22"/>
                    </w:rPr>
                  </w:pPr>
                  <w:r w:rsidRPr="009446CC">
                    <w:rPr>
                      <w:rFonts w:ascii="Arial" w:eastAsia="Calibri" w:hAnsi="Arial" w:cs="Arial"/>
                      <w:sz w:val="22"/>
                      <w:szCs w:val="22"/>
                    </w:rPr>
                    <w:t>19.0%</w:t>
                  </w:r>
                </w:p>
              </w:tc>
            </w:tr>
            <w:tr w:rsidR="009446CC" w:rsidRPr="009446CC" w:rsidTr="004652D6">
              <w:trPr>
                <w:trHeight w:val="279"/>
              </w:trPr>
              <w:tc>
                <w:tcPr>
                  <w:tcW w:w="2322" w:type="dxa"/>
                </w:tcPr>
                <w:p w:rsidR="009446CC" w:rsidRPr="009446CC" w:rsidRDefault="009446CC" w:rsidP="009446CC">
                  <w:pPr>
                    <w:widowControl/>
                    <w:spacing w:after="0" w:line="240" w:lineRule="auto"/>
                    <w:rPr>
                      <w:rFonts w:ascii="Arial" w:eastAsia="Calibri" w:hAnsi="Arial" w:cs="Arial"/>
                      <w:sz w:val="22"/>
                      <w:szCs w:val="22"/>
                    </w:rPr>
                  </w:pPr>
                  <w:r w:rsidRPr="009446CC">
                    <w:rPr>
                      <w:rFonts w:ascii="Arial" w:eastAsia="Calibri" w:hAnsi="Arial" w:cs="Arial"/>
                      <w:sz w:val="22"/>
                      <w:szCs w:val="22"/>
                    </w:rPr>
                    <w:t>KFH-Ontario MCSA</w:t>
                  </w:r>
                </w:p>
              </w:tc>
              <w:tc>
                <w:tcPr>
                  <w:tcW w:w="1188" w:type="dxa"/>
                </w:tcPr>
                <w:p w:rsidR="009446CC" w:rsidRPr="009446CC" w:rsidRDefault="009446CC" w:rsidP="009446CC">
                  <w:pPr>
                    <w:widowControl/>
                    <w:spacing w:after="0" w:line="240" w:lineRule="auto"/>
                    <w:jc w:val="center"/>
                    <w:rPr>
                      <w:rFonts w:ascii="Arial" w:eastAsia="Calibri" w:hAnsi="Arial" w:cs="Arial"/>
                      <w:sz w:val="22"/>
                      <w:szCs w:val="22"/>
                    </w:rPr>
                  </w:pPr>
                  <w:r w:rsidRPr="009446CC">
                    <w:rPr>
                      <w:rFonts w:ascii="Arial" w:eastAsia="Calibri" w:hAnsi="Arial" w:cs="Arial"/>
                      <w:sz w:val="22"/>
                      <w:szCs w:val="22"/>
                    </w:rPr>
                    <w:t>19.7%</w:t>
                  </w:r>
                </w:p>
              </w:tc>
              <w:tc>
                <w:tcPr>
                  <w:tcW w:w="1599" w:type="dxa"/>
                </w:tcPr>
                <w:p w:rsidR="009446CC" w:rsidRPr="009446CC" w:rsidRDefault="009446CC" w:rsidP="009446CC">
                  <w:pPr>
                    <w:widowControl/>
                    <w:spacing w:after="0" w:line="240" w:lineRule="auto"/>
                    <w:jc w:val="center"/>
                    <w:rPr>
                      <w:rFonts w:ascii="Arial" w:eastAsia="Calibri" w:hAnsi="Arial" w:cs="Arial"/>
                      <w:sz w:val="22"/>
                      <w:szCs w:val="22"/>
                    </w:rPr>
                  </w:pPr>
                  <w:r w:rsidRPr="009446CC">
                    <w:rPr>
                      <w:rFonts w:ascii="Arial" w:eastAsia="Calibri" w:hAnsi="Arial" w:cs="Arial"/>
                      <w:sz w:val="22"/>
                      <w:szCs w:val="22"/>
                    </w:rPr>
                    <w:t>18.6%</w:t>
                  </w:r>
                </w:p>
              </w:tc>
            </w:tr>
            <w:tr w:rsidR="009446CC" w:rsidRPr="009446CC" w:rsidTr="004652D6">
              <w:trPr>
                <w:trHeight w:val="537"/>
              </w:trPr>
              <w:tc>
                <w:tcPr>
                  <w:tcW w:w="2322" w:type="dxa"/>
                </w:tcPr>
                <w:p w:rsidR="009446CC" w:rsidRPr="009446CC" w:rsidRDefault="009446CC" w:rsidP="009446CC">
                  <w:pPr>
                    <w:widowControl/>
                    <w:spacing w:after="0" w:line="240" w:lineRule="auto"/>
                    <w:rPr>
                      <w:rFonts w:ascii="Arial" w:eastAsia="Calibri" w:hAnsi="Arial" w:cs="Arial"/>
                      <w:sz w:val="22"/>
                      <w:szCs w:val="22"/>
                    </w:rPr>
                  </w:pPr>
                  <w:r w:rsidRPr="009446CC">
                    <w:rPr>
                      <w:rFonts w:ascii="Arial" w:eastAsia="Calibri" w:hAnsi="Arial" w:cs="Arial"/>
                      <w:sz w:val="22"/>
                      <w:szCs w:val="22"/>
                    </w:rPr>
                    <w:t>S CA MCA</w:t>
                  </w:r>
                </w:p>
              </w:tc>
              <w:tc>
                <w:tcPr>
                  <w:tcW w:w="1188" w:type="dxa"/>
                </w:tcPr>
                <w:p w:rsidR="009446CC" w:rsidRPr="009446CC" w:rsidRDefault="009446CC" w:rsidP="009446CC">
                  <w:pPr>
                    <w:widowControl/>
                    <w:spacing w:after="0" w:line="240" w:lineRule="auto"/>
                    <w:jc w:val="center"/>
                    <w:rPr>
                      <w:rFonts w:ascii="Arial" w:eastAsia="Calibri" w:hAnsi="Arial" w:cs="Arial"/>
                      <w:sz w:val="22"/>
                      <w:szCs w:val="22"/>
                    </w:rPr>
                  </w:pPr>
                  <w:r w:rsidRPr="009446CC">
                    <w:rPr>
                      <w:rFonts w:ascii="Arial" w:eastAsia="Calibri" w:hAnsi="Arial" w:cs="Arial"/>
                      <w:sz w:val="22"/>
                      <w:szCs w:val="22"/>
                    </w:rPr>
                    <w:t>19.7%</w:t>
                  </w:r>
                </w:p>
              </w:tc>
              <w:tc>
                <w:tcPr>
                  <w:tcW w:w="1599" w:type="dxa"/>
                </w:tcPr>
                <w:p w:rsidR="009446CC" w:rsidRPr="009446CC" w:rsidRDefault="009446CC" w:rsidP="009446CC">
                  <w:pPr>
                    <w:widowControl/>
                    <w:spacing w:after="0" w:line="240" w:lineRule="auto"/>
                    <w:jc w:val="center"/>
                    <w:rPr>
                      <w:rFonts w:ascii="Arial" w:eastAsia="Calibri" w:hAnsi="Arial" w:cs="Arial"/>
                      <w:sz w:val="22"/>
                      <w:szCs w:val="22"/>
                    </w:rPr>
                  </w:pPr>
                  <w:r w:rsidRPr="009446CC">
                    <w:rPr>
                      <w:rFonts w:ascii="Arial" w:eastAsia="Calibri" w:hAnsi="Arial" w:cs="Arial"/>
                      <w:sz w:val="22"/>
                      <w:szCs w:val="22"/>
                    </w:rPr>
                    <w:t>19.1%</w:t>
                  </w:r>
                </w:p>
              </w:tc>
            </w:tr>
            <w:tr w:rsidR="009446CC" w:rsidRPr="009446CC" w:rsidTr="004652D6">
              <w:trPr>
                <w:trHeight w:val="258"/>
              </w:trPr>
              <w:tc>
                <w:tcPr>
                  <w:tcW w:w="2322" w:type="dxa"/>
                </w:tcPr>
                <w:p w:rsidR="009446CC" w:rsidRPr="009446CC" w:rsidRDefault="009446CC" w:rsidP="009446CC">
                  <w:pPr>
                    <w:widowControl/>
                    <w:spacing w:after="0" w:line="240" w:lineRule="auto"/>
                    <w:rPr>
                      <w:rFonts w:ascii="Arial" w:eastAsia="Calibri" w:hAnsi="Arial" w:cs="Arial"/>
                      <w:sz w:val="22"/>
                      <w:szCs w:val="22"/>
                    </w:rPr>
                  </w:pPr>
                  <w:r w:rsidRPr="009446CC">
                    <w:rPr>
                      <w:rFonts w:ascii="Arial" w:eastAsia="Calibri" w:hAnsi="Arial" w:cs="Arial"/>
                      <w:sz w:val="22"/>
                      <w:szCs w:val="22"/>
                    </w:rPr>
                    <w:t>California</w:t>
                  </w:r>
                </w:p>
              </w:tc>
              <w:tc>
                <w:tcPr>
                  <w:tcW w:w="1188" w:type="dxa"/>
                </w:tcPr>
                <w:p w:rsidR="009446CC" w:rsidRPr="009446CC" w:rsidRDefault="009446CC" w:rsidP="009446CC">
                  <w:pPr>
                    <w:widowControl/>
                    <w:spacing w:after="0" w:line="240" w:lineRule="auto"/>
                    <w:jc w:val="center"/>
                    <w:rPr>
                      <w:rFonts w:ascii="Arial" w:eastAsia="Calibri" w:hAnsi="Arial" w:cs="Arial"/>
                      <w:sz w:val="22"/>
                      <w:szCs w:val="22"/>
                    </w:rPr>
                  </w:pPr>
                  <w:r w:rsidRPr="009446CC">
                    <w:rPr>
                      <w:rFonts w:ascii="Arial" w:eastAsia="Calibri" w:hAnsi="Arial" w:cs="Arial"/>
                      <w:sz w:val="22"/>
                      <w:szCs w:val="22"/>
                    </w:rPr>
                    <w:t>19.0%</w:t>
                  </w:r>
                </w:p>
              </w:tc>
              <w:tc>
                <w:tcPr>
                  <w:tcW w:w="1599" w:type="dxa"/>
                </w:tcPr>
                <w:p w:rsidR="009446CC" w:rsidRPr="009446CC" w:rsidRDefault="009446CC" w:rsidP="009446CC">
                  <w:pPr>
                    <w:widowControl/>
                    <w:spacing w:after="0" w:line="240" w:lineRule="auto"/>
                    <w:jc w:val="center"/>
                    <w:rPr>
                      <w:rFonts w:ascii="Arial" w:eastAsia="Calibri" w:hAnsi="Arial" w:cs="Arial"/>
                      <w:sz w:val="22"/>
                      <w:szCs w:val="22"/>
                    </w:rPr>
                  </w:pPr>
                  <w:r w:rsidRPr="009446CC">
                    <w:rPr>
                      <w:rFonts w:ascii="Arial" w:eastAsia="Calibri" w:hAnsi="Arial" w:cs="Arial"/>
                      <w:sz w:val="22"/>
                      <w:szCs w:val="22"/>
                    </w:rPr>
                    <w:t>19.3%</w:t>
                  </w:r>
                </w:p>
              </w:tc>
            </w:tr>
          </w:tbl>
          <w:p w:rsidR="009446CC" w:rsidRPr="009446CC" w:rsidRDefault="009446CC" w:rsidP="009446CC">
            <w:pPr>
              <w:spacing w:after="120" w:line="240" w:lineRule="auto"/>
              <w:rPr>
                <w:rFonts w:ascii="Arial" w:eastAsia="Arial" w:hAnsi="Arial" w:cs="Arial"/>
                <w:color w:val="000000"/>
                <w:sz w:val="22"/>
                <w:szCs w:val="22"/>
              </w:rPr>
            </w:pPr>
          </w:p>
          <w:p w:rsidR="009446CC" w:rsidRPr="009446CC" w:rsidRDefault="009446CC" w:rsidP="009446CC">
            <w:pPr>
              <w:spacing w:after="0" w:line="240" w:lineRule="auto"/>
              <w:rPr>
                <w:rFonts w:ascii="Arial" w:eastAsia="Arial" w:hAnsi="Arial" w:cs="Arial"/>
                <w:color w:val="000000"/>
                <w:sz w:val="20"/>
                <w:szCs w:val="20"/>
              </w:rPr>
            </w:pPr>
            <w:r w:rsidRPr="009446CC">
              <w:rPr>
                <w:rFonts w:ascii="Arial" w:eastAsia="Arial" w:hAnsi="Arial" w:cs="Arial"/>
                <w:color w:val="000000"/>
                <w:sz w:val="20"/>
                <w:szCs w:val="20"/>
              </w:rPr>
              <w:t>KFH-Fontana Medical Center Service Area has a higher youth obesity rate compared to KFH-Ontario Medical Center Service Area, the S CA MCA and state. KFH-Ontario Medical Center Service Area has a lower percentage of overweight youth compared to the S CA MCA and state.</w:t>
            </w:r>
          </w:p>
          <w:p w:rsidR="009446CC" w:rsidRPr="009446CC" w:rsidRDefault="009446CC" w:rsidP="009446CC">
            <w:pPr>
              <w:spacing w:after="120" w:line="240" w:lineRule="auto"/>
              <w:rPr>
                <w:rFonts w:ascii="Arial" w:eastAsia="Arial" w:hAnsi="Arial" w:cs="Arial"/>
                <w:color w:val="000000"/>
                <w:sz w:val="22"/>
                <w:szCs w:val="22"/>
              </w:rPr>
            </w:pPr>
          </w:p>
          <w:p w:rsidR="009446CC" w:rsidRPr="009446CC" w:rsidRDefault="009446CC" w:rsidP="009446CC">
            <w:pPr>
              <w:spacing w:after="120" w:line="240" w:lineRule="auto"/>
              <w:jc w:val="center"/>
              <w:rPr>
                <w:rFonts w:ascii="Arial" w:eastAsia="Arial" w:hAnsi="Arial" w:cs="Arial"/>
                <w:b/>
                <w:color w:val="000000"/>
                <w:sz w:val="22"/>
                <w:szCs w:val="22"/>
              </w:rPr>
            </w:pPr>
            <w:r w:rsidRPr="009446CC">
              <w:rPr>
                <w:rFonts w:ascii="Arial" w:eastAsia="Open Sans" w:hAnsi="Arial" w:cs="Arial"/>
                <w:i/>
                <w:iCs/>
                <w:color w:val="555555"/>
                <w:sz w:val="18"/>
                <w:szCs w:val="18"/>
              </w:rPr>
              <w:t>Source: California Department of Education, FITNESSGRAM® Physical Fitness Testing. 2013-14.</w:t>
            </w:r>
          </w:p>
        </w:tc>
        <w:tc>
          <w:tcPr>
            <w:tcW w:w="4891" w:type="dxa"/>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Arial" w:hAnsi="Arial" w:cs="Arial"/>
                <w:b/>
                <w:color w:val="000000"/>
                <w:sz w:val="22"/>
                <w:szCs w:val="22"/>
              </w:rPr>
              <w:t xml:space="preserve">Diabetes Prevalence </w:t>
            </w:r>
          </w:p>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Arial" w:hAnsi="Arial" w:cs="Arial"/>
                <w:noProof/>
                <w:color w:val="000000"/>
                <w:sz w:val="22"/>
                <w:szCs w:val="22"/>
              </w:rPr>
              <w:drawing>
                <wp:inline distT="0" distB="0" distL="0" distR="0" wp14:anchorId="413346F1" wp14:editId="673559A0">
                  <wp:extent cx="3276600" cy="1647825"/>
                  <wp:effectExtent l="0" t="0" r="0"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446CC" w:rsidRPr="009446CC" w:rsidRDefault="009446CC" w:rsidP="009446CC">
            <w:pPr>
              <w:spacing w:after="120" w:line="240" w:lineRule="auto"/>
              <w:rPr>
                <w:rFonts w:ascii="Arial" w:eastAsia="Arial" w:hAnsi="Arial" w:cs="Arial"/>
                <w:b/>
                <w:color w:val="000000"/>
                <w:sz w:val="22"/>
                <w:szCs w:val="24"/>
              </w:rPr>
            </w:pPr>
            <w:r w:rsidRPr="009446CC">
              <w:rPr>
                <w:rFonts w:ascii="Arial" w:eastAsia="Arial" w:hAnsi="Arial" w:cs="Arial"/>
                <w:color w:val="000000"/>
                <w:sz w:val="20"/>
                <w:szCs w:val="20"/>
              </w:rPr>
              <w:t>The KFH-Fontana/Ontario Medical Center Service Areas have higher diabetes prevalence than the S CA MCA and state.</w:t>
            </w:r>
          </w:p>
          <w:p w:rsidR="009446CC" w:rsidRPr="009446CC" w:rsidRDefault="009446CC" w:rsidP="009446CC">
            <w:pPr>
              <w:spacing w:after="120" w:line="240" w:lineRule="auto"/>
              <w:rPr>
                <w:rFonts w:ascii="Arial" w:eastAsia="Arial" w:hAnsi="Arial" w:cs="Arial"/>
                <w:color w:val="000000"/>
                <w:sz w:val="22"/>
                <w:szCs w:val="22"/>
              </w:rPr>
            </w:pPr>
            <w:r w:rsidRPr="009446CC">
              <w:rPr>
                <w:rFonts w:ascii="Arial" w:eastAsia="Open Sans" w:hAnsi="Arial" w:cs="Arial"/>
                <w:i/>
                <w:iCs/>
                <w:color w:val="555555"/>
                <w:sz w:val="18"/>
                <w:szCs w:val="18"/>
              </w:rPr>
              <w:t>Centers for Disease Control and Prevention, National Center for Chronic Disease Prevention and Health Promotion. 2012.</w:t>
            </w:r>
          </w:p>
        </w:tc>
      </w:tr>
      <w:tr w:rsidR="009446CC" w:rsidRPr="009446CC" w:rsidTr="00DD3844">
        <w:tblPrEx>
          <w:jc w:val="left"/>
        </w:tblPrEx>
        <w:trPr>
          <w:trHeight w:val="420"/>
        </w:trPr>
        <w:tc>
          <w:tcPr>
            <w:tcW w:w="10180" w:type="dxa"/>
            <w:gridSpan w:val="5"/>
            <w:shd w:val="clear" w:color="auto" w:fill="006D9D"/>
            <w:tcMar>
              <w:top w:w="57" w:type="dxa"/>
              <w:left w:w="57" w:type="dxa"/>
              <w:bottom w:w="57" w:type="dxa"/>
              <w:right w:w="57" w:type="dxa"/>
            </w:tcMar>
          </w:tcPr>
          <w:p w:rsidR="009446CC" w:rsidRPr="009446CC" w:rsidRDefault="009446CC" w:rsidP="009446CC">
            <w:pPr>
              <w:spacing w:after="120" w:line="240" w:lineRule="auto"/>
              <w:rPr>
                <w:rFonts w:ascii="Arial" w:eastAsia="Arial" w:hAnsi="Arial" w:cs="Arial"/>
                <w:color w:val="000000"/>
                <w:sz w:val="22"/>
                <w:szCs w:val="22"/>
              </w:rPr>
            </w:pPr>
            <w:r w:rsidRPr="009446CC">
              <w:rPr>
                <w:rFonts w:ascii="Arial" w:eastAsia="Arial" w:hAnsi="Arial" w:cs="Arial"/>
                <w:b/>
                <w:color w:val="FFFFFF"/>
                <w:sz w:val="32"/>
                <w:szCs w:val="32"/>
              </w:rPr>
              <w:t>Health Disparities</w:t>
            </w:r>
          </w:p>
        </w:tc>
      </w:tr>
      <w:tr w:rsidR="009446CC" w:rsidRPr="009446CC" w:rsidTr="00DD3844">
        <w:tblPrEx>
          <w:jc w:val="left"/>
        </w:tblPrEx>
        <w:trPr>
          <w:trHeight w:val="620"/>
        </w:trPr>
        <w:tc>
          <w:tcPr>
            <w:tcW w:w="10180" w:type="dxa"/>
            <w:gridSpan w:val="5"/>
            <w:tcMar>
              <w:top w:w="100" w:type="dxa"/>
              <w:left w:w="100" w:type="dxa"/>
              <w:bottom w:w="100" w:type="dxa"/>
              <w:right w:w="100" w:type="dxa"/>
            </w:tcMar>
          </w:tcPr>
          <w:tbl>
            <w:tblPr>
              <w:tblW w:w="9980" w:type="dxa"/>
              <w:tblLook w:val="0600" w:firstRow="0" w:lastRow="0" w:firstColumn="0" w:lastColumn="0" w:noHBand="1" w:noVBand="1"/>
            </w:tblPr>
            <w:tblGrid>
              <w:gridCol w:w="885"/>
              <w:gridCol w:w="9095"/>
            </w:tblGrid>
            <w:tr w:rsidR="009446CC" w:rsidRPr="009446CC" w:rsidTr="004652D6">
              <w:tc>
                <w:tcPr>
                  <w:tcW w:w="885" w:type="dxa"/>
                  <w:tcMar>
                    <w:left w:w="0" w:type="dxa"/>
                    <w:right w:w="0" w:type="dxa"/>
                  </w:tcMar>
                </w:tcPr>
                <w:p w:rsidR="009446CC" w:rsidRPr="009446CC" w:rsidRDefault="009446CC" w:rsidP="009446CC">
                  <w:pPr>
                    <w:spacing w:after="120" w:line="240" w:lineRule="auto"/>
                    <w:ind w:left="-15" w:right="-15" w:hanging="15"/>
                    <w:jc w:val="both"/>
                    <w:rPr>
                      <w:rFonts w:ascii="Arial" w:eastAsia="Arial" w:hAnsi="Arial" w:cs="Arial"/>
                      <w:color w:val="000000"/>
                      <w:sz w:val="22"/>
                      <w:szCs w:val="22"/>
                    </w:rPr>
                  </w:pPr>
                  <w:r w:rsidRPr="009446CC">
                    <w:rPr>
                      <w:rFonts w:ascii="Arial" w:eastAsia="Arial" w:hAnsi="Arial" w:cs="Arial"/>
                      <w:noProof/>
                      <w:color w:val="000000"/>
                      <w:sz w:val="22"/>
                      <w:szCs w:val="22"/>
                    </w:rPr>
                    <w:drawing>
                      <wp:inline distT="114300" distB="114300" distL="114300" distR="114300" wp14:anchorId="04BC334F" wp14:editId="43090B8E">
                        <wp:extent cx="420767" cy="380047"/>
                        <wp:effectExtent l="0" t="0" r="0" b="0"/>
                        <wp:docPr id="1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420767" cy="380047"/>
                                </a:xfrm>
                                <a:prstGeom prst="rect">
                                  <a:avLst/>
                                </a:prstGeom>
                                <a:ln/>
                              </pic:spPr>
                            </pic:pic>
                          </a:graphicData>
                        </a:graphic>
                      </wp:inline>
                    </w:drawing>
                  </w:r>
                </w:p>
              </w:tc>
              <w:tc>
                <w:tcPr>
                  <w:tcW w:w="9095" w:type="dxa"/>
                  <w:tcMar>
                    <w:left w:w="0" w:type="dxa"/>
                    <w:right w:w="0" w:type="dxa"/>
                  </w:tcMar>
                </w:tcPr>
                <w:p w:rsidR="009446CC" w:rsidRPr="009446CC" w:rsidRDefault="009446CC" w:rsidP="009446CC">
                  <w:pPr>
                    <w:spacing w:after="120" w:line="240" w:lineRule="auto"/>
                    <w:rPr>
                      <w:rFonts w:ascii="Arial" w:eastAsia="Arial" w:hAnsi="Arial" w:cs="Arial"/>
                      <w:color w:val="000000"/>
                      <w:sz w:val="22"/>
                      <w:szCs w:val="22"/>
                    </w:rPr>
                  </w:pPr>
                  <w:r w:rsidRPr="009446CC">
                    <w:rPr>
                      <w:rFonts w:ascii="Arial" w:eastAsia="Arial" w:hAnsi="Arial" w:cs="Arial"/>
                      <w:color w:val="000000"/>
                      <w:sz w:val="22"/>
                      <w:szCs w:val="22"/>
                    </w:rPr>
                    <w:t>Hispanic or Latinos have higher percentages of youth obesity in the KFH-Fontana/Ontario Medical Center Service Areas, compared to the S CA MCA, and statewide.</w:t>
                  </w:r>
                </w:p>
                <w:p w:rsidR="009446CC" w:rsidRPr="009446CC" w:rsidRDefault="009446CC" w:rsidP="009446CC">
                  <w:pPr>
                    <w:spacing w:after="120" w:line="240" w:lineRule="auto"/>
                    <w:jc w:val="center"/>
                    <w:rPr>
                      <w:rFonts w:ascii="Arial" w:eastAsia="Arial" w:hAnsi="Arial" w:cs="Arial"/>
                      <w:b/>
                      <w:color w:val="000000"/>
                      <w:sz w:val="22"/>
                      <w:szCs w:val="22"/>
                    </w:rPr>
                  </w:pPr>
                  <w:r w:rsidRPr="009446CC">
                    <w:rPr>
                      <w:rFonts w:ascii="Arial" w:eastAsia="Arial" w:hAnsi="Arial" w:cs="Arial"/>
                      <w:b/>
                      <w:color w:val="000000"/>
                      <w:sz w:val="22"/>
                      <w:szCs w:val="22"/>
                    </w:rPr>
                    <w:t>Youth Obesity , Age-Adjusted by Race/Ethnicity</w:t>
                  </w:r>
                </w:p>
              </w:tc>
            </w:tr>
            <w:tr w:rsidR="009446CC" w:rsidRPr="009446CC" w:rsidTr="004652D6">
              <w:trPr>
                <w:trHeight w:val="420"/>
              </w:trPr>
              <w:tc>
                <w:tcPr>
                  <w:tcW w:w="9980" w:type="dxa"/>
                  <w:gridSpan w:val="2"/>
                  <w:tcMar>
                    <w:left w:w="0" w:type="dxa"/>
                    <w:right w:w="0" w:type="dxa"/>
                  </w:tcMar>
                </w:tcPr>
                <w:tbl>
                  <w:tblPr>
                    <w:tblStyle w:val="LightList15"/>
                    <w:tblW w:w="0" w:type="auto"/>
                    <w:tblLook w:val="04A0" w:firstRow="1" w:lastRow="0" w:firstColumn="1" w:lastColumn="0" w:noHBand="0" w:noVBand="1"/>
                  </w:tblPr>
                  <w:tblGrid>
                    <w:gridCol w:w="2061"/>
                    <w:gridCol w:w="1507"/>
                    <w:gridCol w:w="1507"/>
                    <w:gridCol w:w="1507"/>
                    <w:gridCol w:w="1508"/>
                    <w:gridCol w:w="1529"/>
                  </w:tblGrid>
                  <w:tr w:rsidR="009446CC" w:rsidRPr="009446CC" w:rsidTr="004652D6">
                    <w:trPr>
                      <w:cnfStyle w:val="100000000000" w:firstRow="1" w:lastRow="0" w:firstColumn="0" w:lastColumn="0" w:oddVBand="0" w:evenVBand="0" w:oddHBand="0"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2061" w:type="dxa"/>
                      </w:tcPr>
                      <w:p w:rsidR="009446CC" w:rsidRPr="009446CC" w:rsidRDefault="009446CC" w:rsidP="009446CC">
                        <w:pPr>
                          <w:widowControl/>
                          <w:spacing w:after="0" w:line="240" w:lineRule="auto"/>
                          <w:rPr>
                            <w:rFonts w:ascii="Arial" w:hAnsi="Arial" w:cs="Arial"/>
                            <w:sz w:val="22"/>
                            <w:szCs w:val="22"/>
                          </w:rPr>
                        </w:pPr>
                      </w:p>
                    </w:tc>
                    <w:tc>
                      <w:tcPr>
                        <w:tcW w:w="1507" w:type="dxa"/>
                        <w:vAlign w:val="center"/>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Non-Hispanic White</w:t>
                        </w:r>
                      </w:p>
                    </w:tc>
                    <w:tc>
                      <w:tcPr>
                        <w:tcW w:w="1507" w:type="dxa"/>
                        <w:vAlign w:val="center"/>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Black</w:t>
                        </w:r>
                      </w:p>
                    </w:tc>
                    <w:tc>
                      <w:tcPr>
                        <w:tcW w:w="1507" w:type="dxa"/>
                        <w:vAlign w:val="center"/>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Asian</w:t>
                        </w:r>
                      </w:p>
                    </w:tc>
                    <w:tc>
                      <w:tcPr>
                        <w:tcW w:w="1508" w:type="dxa"/>
                        <w:vAlign w:val="center"/>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Multiple Race</w:t>
                        </w:r>
                      </w:p>
                    </w:tc>
                    <w:tc>
                      <w:tcPr>
                        <w:tcW w:w="1529" w:type="dxa"/>
                        <w:vAlign w:val="center"/>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Hispanic or Latino</w:t>
                        </w:r>
                      </w:p>
                    </w:tc>
                  </w:tr>
                  <w:tr w:rsidR="009446CC" w:rsidRPr="009446CC" w:rsidTr="004652D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061" w:type="dxa"/>
                      </w:tcPr>
                      <w:p w:rsidR="009446CC" w:rsidRPr="009446CC" w:rsidRDefault="009446CC" w:rsidP="009446CC">
                        <w:pPr>
                          <w:widowControl/>
                          <w:spacing w:after="0" w:line="240" w:lineRule="auto"/>
                          <w:rPr>
                            <w:rFonts w:ascii="Arial" w:hAnsi="Arial" w:cs="Arial"/>
                            <w:sz w:val="22"/>
                            <w:szCs w:val="22"/>
                          </w:rPr>
                        </w:pPr>
                        <w:r w:rsidRPr="009446CC">
                          <w:rPr>
                            <w:rFonts w:ascii="Arial" w:hAnsi="Arial" w:cs="Arial"/>
                            <w:sz w:val="22"/>
                            <w:szCs w:val="22"/>
                          </w:rPr>
                          <w:t>KFH-Fontana MCSA</w:t>
                        </w:r>
                      </w:p>
                    </w:tc>
                    <w:tc>
                      <w:tcPr>
                        <w:tcW w:w="1507" w:type="dxa"/>
                        <w:vAlign w:val="center"/>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14.6%</w:t>
                        </w:r>
                      </w:p>
                    </w:tc>
                    <w:tc>
                      <w:tcPr>
                        <w:tcW w:w="1507" w:type="dxa"/>
                        <w:vAlign w:val="center"/>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19.1%</w:t>
                        </w:r>
                      </w:p>
                    </w:tc>
                    <w:tc>
                      <w:tcPr>
                        <w:tcW w:w="1507" w:type="dxa"/>
                        <w:vAlign w:val="center"/>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12.5%</w:t>
                        </w:r>
                      </w:p>
                    </w:tc>
                    <w:tc>
                      <w:tcPr>
                        <w:tcW w:w="1508" w:type="dxa"/>
                        <w:vAlign w:val="center"/>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21.7%</w:t>
                        </w:r>
                      </w:p>
                    </w:tc>
                    <w:tc>
                      <w:tcPr>
                        <w:tcW w:w="1529" w:type="dxa"/>
                        <w:vAlign w:val="center"/>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9446CC">
                          <w:rPr>
                            <w:rFonts w:ascii="Arial" w:hAnsi="Arial" w:cs="Arial"/>
                            <w:color w:val="FF0000"/>
                            <w:sz w:val="22"/>
                            <w:szCs w:val="22"/>
                          </w:rPr>
                          <w:t>24.8%</w:t>
                        </w:r>
                      </w:p>
                    </w:tc>
                  </w:tr>
                  <w:tr w:rsidR="009446CC" w:rsidRPr="009446CC" w:rsidTr="004652D6">
                    <w:trPr>
                      <w:trHeight w:val="509"/>
                    </w:trPr>
                    <w:tc>
                      <w:tcPr>
                        <w:cnfStyle w:val="001000000000" w:firstRow="0" w:lastRow="0" w:firstColumn="1" w:lastColumn="0" w:oddVBand="0" w:evenVBand="0" w:oddHBand="0" w:evenHBand="0" w:firstRowFirstColumn="0" w:firstRowLastColumn="0" w:lastRowFirstColumn="0" w:lastRowLastColumn="0"/>
                        <w:tcW w:w="2061" w:type="dxa"/>
                      </w:tcPr>
                      <w:p w:rsidR="009446CC" w:rsidRPr="009446CC" w:rsidRDefault="009446CC" w:rsidP="009446CC">
                        <w:pPr>
                          <w:widowControl/>
                          <w:spacing w:after="0" w:line="240" w:lineRule="auto"/>
                          <w:rPr>
                            <w:rFonts w:ascii="Arial" w:hAnsi="Arial" w:cs="Arial"/>
                            <w:sz w:val="22"/>
                            <w:szCs w:val="22"/>
                          </w:rPr>
                        </w:pPr>
                        <w:r w:rsidRPr="009446CC">
                          <w:rPr>
                            <w:rFonts w:ascii="Arial" w:hAnsi="Arial" w:cs="Arial"/>
                            <w:sz w:val="22"/>
                            <w:szCs w:val="22"/>
                          </w:rPr>
                          <w:t>KFH-Ontario MCSA</w:t>
                        </w:r>
                      </w:p>
                    </w:tc>
                    <w:tc>
                      <w:tcPr>
                        <w:tcW w:w="1507" w:type="dxa"/>
                        <w:vAlign w:val="center"/>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12.6%</w:t>
                        </w:r>
                      </w:p>
                    </w:tc>
                    <w:tc>
                      <w:tcPr>
                        <w:tcW w:w="1507" w:type="dxa"/>
                        <w:vAlign w:val="center"/>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16.2%</w:t>
                        </w:r>
                      </w:p>
                    </w:tc>
                    <w:tc>
                      <w:tcPr>
                        <w:tcW w:w="1507" w:type="dxa"/>
                        <w:vAlign w:val="center"/>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9.2%</w:t>
                        </w:r>
                      </w:p>
                    </w:tc>
                    <w:tc>
                      <w:tcPr>
                        <w:tcW w:w="1508" w:type="dxa"/>
                        <w:vAlign w:val="center"/>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14.9%</w:t>
                        </w:r>
                      </w:p>
                    </w:tc>
                    <w:tc>
                      <w:tcPr>
                        <w:tcW w:w="1529" w:type="dxa"/>
                        <w:vAlign w:val="center"/>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9446CC">
                          <w:rPr>
                            <w:rFonts w:ascii="Arial" w:hAnsi="Arial" w:cs="Arial"/>
                            <w:color w:val="FF0000"/>
                            <w:sz w:val="22"/>
                            <w:szCs w:val="22"/>
                          </w:rPr>
                          <w:t>23.5%</w:t>
                        </w:r>
                      </w:p>
                    </w:tc>
                  </w:tr>
                  <w:tr w:rsidR="009446CC" w:rsidRPr="009446CC" w:rsidTr="004652D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061" w:type="dxa"/>
                      </w:tcPr>
                      <w:p w:rsidR="009446CC" w:rsidRPr="009446CC" w:rsidRDefault="009446CC" w:rsidP="009446CC">
                        <w:pPr>
                          <w:widowControl/>
                          <w:spacing w:after="0" w:line="240" w:lineRule="auto"/>
                          <w:rPr>
                            <w:rFonts w:ascii="Arial" w:hAnsi="Arial" w:cs="Arial"/>
                            <w:sz w:val="22"/>
                            <w:szCs w:val="22"/>
                          </w:rPr>
                        </w:pPr>
                        <w:r w:rsidRPr="009446CC">
                          <w:rPr>
                            <w:rFonts w:ascii="Arial" w:eastAsia="Calibri" w:hAnsi="Arial" w:cs="Arial"/>
                            <w:sz w:val="22"/>
                            <w:szCs w:val="22"/>
                          </w:rPr>
                          <w:t>S CA MCA</w:t>
                        </w:r>
                      </w:p>
                    </w:tc>
                    <w:tc>
                      <w:tcPr>
                        <w:tcW w:w="1507" w:type="dxa"/>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10.9%</w:t>
                        </w:r>
                      </w:p>
                    </w:tc>
                    <w:tc>
                      <w:tcPr>
                        <w:tcW w:w="1507" w:type="dxa"/>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19.4%</w:t>
                        </w:r>
                      </w:p>
                    </w:tc>
                    <w:tc>
                      <w:tcPr>
                        <w:tcW w:w="1507" w:type="dxa"/>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8.3%</w:t>
                        </w:r>
                      </w:p>
                    </w:tc>
                    <w:tc>
                      <w:tcPr>
                        <w:tcW w:w="1508" w:type="dxa"/>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13.5%</w:t>
                        </w:r>
                      </w:p>
                    </w:tc>
                    <w:tc>
                      <w:tcPr>
                        <w:tcW w:w="1529" w:type="dxa"/>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24.7%</w:t>
                        </w:r>
                      </w:p>
                    </w:tc>
                  </w:tr>
                  <w:tr w:rsidR="009446CC" w:rsidRPr="009446CC" w:rsidTr="004652D6">
                    <w:trPr>
                      <w:trHeight w:val="278"/>
                    </w:trPr>
                    <w:tc>
                      <w:tcPr>
                        <w:cnfStyle w:val="001000000000" w:firstRow="0" w:lastRow="0" w:firstColumn="1" w:lastColumn="0" w:oddVBand="0" w:evenVBand="0" w:oddHBand="0" w:evenHBand="0" w:firstRowFirstColumn="0" w:firstRowLastColumn="0" w:lastRowFirstColumn="0" w:lastRowLastColumn="0"/>
                        <w:tcW w:w="2061" w:type="dxa"/>
                      </w:tcPr>
                      <w:p w:rsidR="009446CC" w:rsidRPr="009446CC" w:rsidRDefault="009446CC" w:rsidP="009446CC">
                        <w:pPr>
                          <w:widowControl/>
                          <w:spacing w:after="0" w:line="240" w:lineRule="auto"/>
                          <w:rPr>
                            <w:rFonts w:ascii="Arial" w:hAnsi="Arial" w:cs="Arial"/>
                            <w:sz w:val="22"/>
                            <w:szCs w:val="22"/>
                          </w:rPr>
                        </w:pPr>
                        <w:r w:rsidRPr="009446CC">
                          <w:rPr>
                            <w:rFonts w:ascii="Arial" w:hAnsi="Arial" w:cs="Arial"/>
                            <w:sz w:val="22"/>
                            <w:szCs w:val="22"/>
                          </w:rPr>
                          <w:t>California</w:t>
                        </w:r>
                      </w:p>
                    </w:tc>
                    <w:tc>
                      <w:tcPr>
                        <w:tcW w:w="1507" w:type="dxa"/>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11.5%</w:t>
                        </w:r>
                      </w:p>
                    </w:tc>
                    <w:tc>
                      <w:tcPr>
                        <w:tcW w:w="1507" w:type="dxa"/>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19.8%</w:t>
                        </w:r>
                      </w:p>
                    </w:tc>
                    <w:tc>
                      <w:tcPr>
                        <w:tcW w:w="1507" w:type="dxa"/>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9.0%</w:t>
                        </w:r>
                      </w:p>
                    </w:tc>
                    <w:tc>
                      <w:tcPr>
                        <w:tcW w:w="1508" w:type="dxa"/>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14.5%</w:t>
                        </w:r>
                      </w:p>
                    </w:tc>
                    <w:tc>
                      <w:tcPr>
                        <w:tcW w:w="1529" w:type="dxa"/>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24.4%</w:t>
                        </w:r>
                      </w:p>
                    </w:tc>
                  </w:tr>
                </w:tbl>
                <w:p w:rsidR="009446CC" w:rsidRPr="009446CC" w:rsidRDefault="009446CC" w:rsidP="009446CC">
                  <w:pPr>
                    <w:spacing w:after="120" w:line="240" w:lineRule="auto"/>
                    <w:rPr>
                      <w:rFonts w:ascii="Arial" w:eastAsia="Arial" w:hAnsi="Arial" w:cs="Arial"/>
                      <w:i/>
                      <w:color w:val="737373"/>
                      <w:sz w:val="18"/>
                      <w:szCs w:val="18"/>
                    </w:rPr>
                  </w:pPr>
                  <w:r w:rsidRPr="009446CC">
                    <w:rPr>
                      <w:rFonts w:ascii="Arial" w:eastAsia="Arial" w:hAnsi="Arial" w:cs="Arial"/>
                      <w:i/>
                      <w:color w:val="737373"/>
                      <w:sz w:val="18"/>
                      <w:szCs w:val="18"/>
                    </w:rPr>
                    <w:t xml:space="preserve">Source: California Department of Education, </w:t>
                  </w:r>
                  <w:hyperlink r:id="rId50" w:tgtFrame="_blank" w:history="1">
                    <w:r w:rsidRPr="009446CC">
                      <w:rPr>
                        <w:rFonts w:ascii="Arial" w:eastAsia="Arial" w:hAnsi="Arial" w:cs="Arial"/>
                        <w:i/>
                        <w:color w:val="737373"/>
                        <w:sz w:val="18"/>
                        <w:szCs w:val="18"/>
                      </w:rPr>
                      <w:t>FITNESSGRAM® Physical Fitness Testing</w:t>
                    </w:r>
                  </w:hyperlink>
                  <w:r w:rsidRPr="009446CC">
                    <w:rPr>
                      <w:rFonts w:ascii="Arial" w:eastAsia="Arial" w:hAnsi="Arial" w:cs="Arial"/>
                      <w:i/>
                      <w:color w:val="737373"/>
                      <w:sz w:val="18"/>
                      <w:szCs w:val="18"/>
                    </w:rPr>
                    <w:t>. 2013-14.</w:t>
                  </w:r>
                </w:p>
                <w:p w:rsidR="009446CC" w:rsidRPr="009446CC" w:rsidRDefault="009446CC" w:rsidP="009446CC">
                  <w:pPr>
                    <w:spacing w:after="120" w:line="240" w:lineRule="auto"/>
                    <w:rPr>
                      <w:rFonts w:ascii="Arial" w:eastAsia="Arial" w:hAnsi="Arial" w:cs="Arial"/>
                      <w:color w:val="000000"/>
                      <w:sz w:val="22"/>
                      <w:szCs w:val="22"/>
                    </w:rPr>
                  </w:pPr>
                  <w:r w:rsidRPr="009446CC">
                    <w:rPr>
                      <w:rFonts w:ascii="Arial" w:eastAsia="Arial" w:hAnsi="Arial" w:cs="Arial"/>
                      <w:color w:val="000000"/>
                      <w:sz w:val="22"/>
                      <w:szCs w:val="22"/>
                    </w:rPr>
                    <w:t>Hispanic or Latinos, Blacks and Multiple races have higher percentages of youth physical inactivity in the KFH-Fontana Medical Center Service Area compared to the S CA MCA and state.</w:t>
                  </w:r>
                </w:p>
                <w:p w:rsidR="004652D6" w:rsidRDefault="004652D6" w:rsidP="009446CC">
                  <w:pPr>
                    <w:spacing w:after="120" w:line="240" w:lineRule="auto"/>
                    <w:jc w:val="center"/>
                    <w:rPr>
                      <w:rFonts w:ascii="Arial" w:eastAsia="Arial" w:hAnsi="Arial" w:cs="Arial"/>
                      <w:b/>
                      <w:color w:val="000000"/>
                      <w:sz w:val="22"/>
                      <w:szCs w:val="22"/>
                    </w:rPr>
                  </w:pPr>
                </w:p>
                <w:p w:rsidR="004652D6" w:rsidRDefault="004652D6" w:rsidP="009446CC">
                  <w:pPr>
                    <w:spacing w:after="120" w:line="240" w:lineRule="auto"/>
                    <w:jc w:val="center"/>
                    <w:rPr>
                      <w:rFonts w:ascii="Arial" w:eastAsia="Arial" w:hAnsi="Arial" w:cs="Arial"/>
                      <w:b/>
                      <w:color w:val="000000"/>
                      <w:sz w:val="22"/>
                      <w:szCs w:val="22"/>
                    </w:rPr>
                  </w:pPr>
                </w:p>
                <w:p w:rsidR="00F03B4A" w:rsidRDefault="00F03B4A" w:rsidP="009446CC">
                  <w:pPr>
                    <w:spacing w:after="120" w:line="240" w:lineRule="auto"/>
                    <w:jc w:val="center"/>
                    <w:rPr>
                      <w:rFonts w:ascii="Arial" w:eastAsia="Arial" w:hAnsi="Arial" w:cs="Arial"/>
                      <w:b/>
                      <w:color w:val="000000"/>
                      <w:sz w:val="22"/>
                      <w:szCs w:val="22"/>
                    </w:rPr>
                  </w:pPr>
                </w:p>
                <w:p w:rsidR="00F03B4A" w:rsidRDefault="00F03B4A" w:rsidP="009446CC">
                  <w:pPr>
                    <w:spacing w:after="120" w:line="240" w:lineRule="auto"/>
                    <w:jc w:val="center"/>
                    <w:rPr>
                      <w:rFonts w:ascii="Arial" w:eastAsia="Arial" w:hAnsi="Arial" w:cs="Arial"/>
                      <w:b/>
                      <w:color w:val="000000"/>
                      <w:sz w:val="22"/>
                      <w:szCs w:val="22"/>
                    </w:rPr>
                  </w:pPr>
                </w:p>
                <w:p w:rsidR="00F03B4A" w:rsidRDefault="00F03B4A" w:rsidP="009446CC">
                  <w:pPr>
                    <w:spacing w:after="120" w:line="240" w:lineRule="auto"/>
                    <w:jc w:val="center"/>
                    <w:rPr>
                      <w:rFonts w:ascii="Arial" w:eastAsia="Arial" w:hAnsi="Arial" w:cs="Arial"/>
                      <w:b/>
                      <w:color w:val="000000"/>
                      <w:sz w:val="22"/>
                      <w:szCs w:val="22"/>
                    </w:rPr>
                  </w:pPr>
                </w:p>
                <w:p w:rsidR="00F03B4A" w:rsidRDefault="00F03B4A" w:rsidP="009446CC">
                  <w:pPr>
                    <w:spacing w:after="120" w:line="240" w:lineRule="auto"/>
                    <w:jc w:val="center"/>
                    <w:rPr>
                      <w:rFonts w:ascii="Arial" w:eastAsia="Arial" w:hAnsi="Arial" w:cs="Arial"/>
                      <w:b/>
                      <w:color w:val="000000"/>
                      <w:sz w:val="22"/>
                      <w:szCs w:val="22"/>
                    </w:rPr>
                  </w:pPr>
                </w:p>
                <w:p w:rsidR="00F03B4A" w:rsidRDefault="00F03B4A" w:rsidP="009446CC">
                  <w:pPr>
                    <w:spacing w:after="120" w:line="240" w:lineRule="auto"/>
                    <w:jc w:val="center"/>
                    <w:rPr>
                      <w:rFonts w:ascii="Arial" w:eastAsia="Arial" w:hAnsi="Arial" w:cs="Arial"/>
                      <w:b/>
                      <w:color w:val="000000"/>
                      <w:sz w:val="22"/>
                      <w:szCs w:val="22"/>
                    </w:rPr>
                  </w:pPr>
                </w:p>
                <w:p w:rsidR="009446CC" w:rsidRPr="009446CC" w:rsidRDefault="009446CC" w:rsidP="009446CC">
                  <w:pPr>
                    <w:spacing w:after="120" w:line="240" w:lineRule="auto"/>
                    <w:jc w:val="center"/>
                    <w:rPr>
                      <w:rFonts w:ascii="Arial" w:eastAsia="Arial" w:hAnsi="Arial" w:cs="Arial"/>
                      <w:b/>
                      <w:color w:val="000000"/>
                      <w:sz w:val="22"/>
                      <w:szCs w:val="22"/>
                    </w:rPr>
                  </w:pPr>
                  <w:r w:rsidRPr="009446CC">
                    <w:rPr>
                      <w:rFonts w:ascii="Arial" w:eastAsia="Arial" w:hAnsi="Arial" w:cs="Arial"/>
                      <w:b/>
                      <w:color w:val="000000"/>
                      <w:sz w:val="22"/>
                      <w:szCs w:val="22"/>
                    </w:rPr>
                    <w:t>Youth Physical Inactivity, Age-Adjusted by Race/Ethnicity</w:t>
                  </w:r>
                </w:p>
                <w:tbl>
                  <w:tblPr>
                    <w:tblStyle w:val="LightList15"/>
                    <w:tblW w:w="5000" w:type="pct"/>
                    <w:tblLook w:val="04A0" w:firstRow="1" w:lastRow="0" w:firstColumn="1" w:lastColumn="0" w:noHBand="0" w:noVBand="1"/>
                  </w:tblPr>
                  <w:tblGrid>
                    <w:gridCol w:w="2138"/>
                    <w:gridCol w:w="1564"/>
                    <w:gridCol w:w="1564"/>
                    <w:gridCol w:w="1564"/>
                    <w:gridCol w:w="1566"/>
                    <w:gridCol w:w="1564"/>
                  </w:tblGrid>
                  <w:tr w:rsidR="009446CC" w:rsidRPr="009446CC" w:rsidTr="004652D6">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074" w:type="pct"/>
                      </w:tcPr>
                      <w:p w:rsidR="009446CC" w:rsidRPr="009446CC" w:rsidRDefault="009446CC" w:rsidP="009446CC">
                        <w:pPr>
                          <w:widowControl/>
                          <w:spacing w:after="0" w:line="240" w:lineRule="auto"/>
                          <w:rPr>
                            <w:rFonts w:ascii="Arial" w:hAnsi="Arial" w:cs="Arial"/>
                            <w:sz w:val="22"/>
                            <w:szCs w:val="22"/>
                          </w:rPr>
                        </w:pPr>
                      </w:p>
                    </w:tc>
                    <w:tc>
                      <w:tcPr>
                        <w:tcW w:w="785" w:type="pct"/>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Non-Hispanic White</w:t>
                        </w:r>
                      </w:p>
                    </w:tc>
                    <w:tc>
                      <w:tcPr>
                        <w:tcW w:w="785" w:type="pct"/>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Black</w:t>
                        </w:r>
                      </w:p>
                    </w:tc>
                    <w:tc>
                      <w:tcPr>
                        <w:tcW w:w="785" w:type="pct"/>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Asian</w:t>
                        </w:r>
                      </w:p>
                    </w:tc>
                    <w:tc>
                      <w:tcPr>
                        <w:tcW w:w="786" w:type="pct"/>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Multiple Race</w:t>
                        </w:r>
                      </w:p>
                    </w:tc>
                    <w:tc>
                      <w:tcPr>
                        <w:tcW w:w="785" w:type="pct"/>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Hispanic or Latino</w:t>
                        </w:r>
                      </w:p>
                    </w:tc>
                  </w:tr>
                  <w:tr w:rsidR="009446CC" w:rsidRPr="009446CC" w:rsidTr="004652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074" w:type="pct"/>
                      </w:tcPr>
                      <w:p w:rsidR="009446CC" w:rsidRPr="009446CC" w:rsidRDefault="009446CC" w:rsidP="009446CC">
                        <w:pPr>
                          <w:widowControl/>
                          <w:spacing w:after="0" w:line="240" w:lineRule="auto"/>
                          <w:rPr>
                            <w:rFonts w:ascii="Arial" w:hAnsi="Arial" w:cs="Arial"/>
                            <w:sz w:val="22"/>
                            <w:szCs w:val="22"/>
                          </w:rPr>
                        </w:pPr>
                        <w:r w:rsidRPr="009446CC">
                          <w:rPr>
                            <w:rFonts w:ascii="Arial" w:hAnsi="Arial" w:cs="Arial"/>
                            <w:sz w:val="22"/>
                            <w:szCs w:val="22"/>
                          </w:rPr>
                          <w:t>KFH-Fontana MCSA</w:t>
                        </w:r>
                      </w:p>
                    </w:tc>
                    <w:tc>
                      <w:tcPr>
                        <w:tcW w:w="785" w:type="pct"/>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34.8%</w:t>
                        </w:r>
                      </w:p>
                    </w:tc>
                    <w:tc>
                      <w:tcPr>
                        <w:tcW w:w="785" w:type="pct"/>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color w:val="FF0000"/>
                            <w:sz w:val="22"/>
                            <w:szCs w:val="22"/>
                          </w:rPr>
                          <w:t>47.4%</w:t>
                        </w:r>
                      </w:p>
                    </w:tc>
                    <w:tc>
                      <w:tcPr>
                        <w:tcW w:w="785" w:type="pct"/>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30.9%</w:t>
                        </w:r>
                      </w:p>
                    </w:tc>
                    <w:tc>
                      <w:tcPr>
                        <w:tcW w:w="786" w:type="pct"/>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9446CC">
                          <w:rPr>
                            <w:rFonts w:ascii="Arial" w:hAnsi="Arial" w:cs="Arial"/>
                            <w:color w:val="FF0000"/>
                            <w:sz w:val="22"/>
                            <w:szCs w:val="22"/>
                          </w:rPr>
                          <w:t>44.7%</w:t>
                        </w:r>
                      </w:p>
                    </w:tc>
                    <w:tc>
                      <w:tcPr>
                        <w:tcW w:w="785" w:type="pct"/>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9446CC">
                          <w:rPr>
                            <w:rFonts w:ascii="Arial" w:hAnsi="Arial" w:cs="Arial"/>
                            <w:color w:val="FF0000"/>
                            <w:sz w:val="22"/>
                            <w:szCs w:val="22"/>
                          </w:rPr>
                          <w:t>47.6%</w:t>
                        </w:r>
                      </w:p>
                    </w:tc>
                  </w:tr>
                  <w:tr w:rsidR="009446CC" w:rsidRPr="009446CC" w:rsidTr="004652D6">
                    <w:trPr>
                      <w:trHeight w:val="376"/>
                    </w:trPr>
                    <w:tc>
                      <w:tcPr>
                        <w:cnfStyle w:val="001000000000" w:firstRow="0" w:lastRow="0" w:firstColumn="1" w:lastColumn="0" w:oddVBand="0" w:evenVBand="0" w:oddHBand="0" w:evenHBand="0" w:firstRowFirstColumn="0" w:firstRowLastColumn="0" w:lastRowFirstColumn="0" w:lastRowLastColumn="0"/>
                        <w:tcW w:w="1074" w:type="pct"/>
                      </w:tcPr>
                      <w:p w:rsidR="009446CC" w:rsidRPr="009446CC" w:rsidRDefault="009446CC" w:rsidP="009446CC">
                        <w:pPr>
                          <w:widowControl/>
                          <w:spacing w:after="0" w:line="240" w:lineRule="auto"/>
                          <w:rPr>
                            <w:rFonts w:ascii="Arial" w:hAnsi="Arial" w:cs="Arial"/>
                            <w:sz w:val="22"/>
                            <w:szCs w:val="22"/>
                          </w:rPr>
                        </w:pPr>
                        <w:r w:rsidRPr="009446CC">
                          <w:rPr>
                            <w:rFonts w:ascii="Arial" w:hAnsi="Arial" w:cs="Arial"/>
                            <w:sz w:val="22"/>
                            <w:szCs w:val="22"/>
                          </w:rPr>
                          <w:t>KFH-Ontario MCSA</w:t>
                        </w:r>
                      </w:p>
                    </w:tc>
                    <w:tc>
                      <w:tcPr>
                        <w:tcW w:w="785" w:type="pct"/>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28.3%</w:t>
                        </w:r>
                      </w:p>
                    </w:tc>
                    <w:tc>
                      <w:tcPr>
                        <w:tcW w:w="785" w:type="pct"/>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33.1%</w:t>
                        </w:r>
                      </w:p>
                    </w:tc>
                    <w:tc>
                      <w:tcPr>
                        <w:tcW w:w="785" w:type="pct"/>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22.6%</w:t>
                        </w:r>
                      </w:p>
                    </w:tc>
                    <w:tc>
                      <w:tcPr>
                        <w:tcW w:w="786" w:type="pct"/>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28.0%</w:t>
                        </w:r>
                      </w:p>
                    </w:tc>
                    <w:tc>
                      <w:tcPr>
                        <w:tcW w:w="785" w:type="pct"/>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38.1%</w:t>
                        </w:r>
                      </w:p>
                    </w:tc>
                  </w:tr>
                  <w:tr w:rsidR="009446CC" w:rsidRPr="009446CC" w:rsidTr="004652D6">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74" w:type="pct"/>
                      </w:tcPr>
                      <w:p w:rsidR="009446CC" w:rsidRPr="009446CC" w:rsidRDefault="009446CC" w:rsidP="009446CC">
                        <w:pPr>
                          <w:widowControl/>
                          <w:spacing w:after="0" w:line="240" w:lineRule="auto"/>
                          <w:rPr>
                            <w:rFonts w:ascii="Arial" w:hAnsi="Arial" w:cs="Arial"/>
                            <w:sz w:val="22"/>
                            <w:szCs w:val="22"/>
                          </w:rPr>
                        </w:pPr>
                        <w:r w:rsidRPr="009446CC">
                          <w:rPr>
                            <w:rFonts w:ascii="Arial" w:eastAsia="Calibri" w:hAnsi="Arial" w:cs="Arial"/>
                            <w:sz w:val="22"/>
                            <w:szCs w:val="22"/>
                          </w:rPr>
                          <w:t>S CA MCA</w:t>
                        </w:r>
                      </w:p>
                    </w:tc>
                    <w:tc>
                      <w:tcPr>
                        <w:tcW w:w="785" w:type="pct"/>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25.1%</w:t>
                        </w:r>
                      </w:p>
                    </w:tc>
                    <w:tc>
                      <w:tcPr>
                        <w:tcW w:w="785" w:type="pct"/>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42.1%</w:t>
                        </w:r>
                      </w:p>
                    </w:tc>
                    <w:tc>
                      <w:tcPr>
                        <w:tcW w:w="785" w:type="pct"/>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20.7%</w:t>
                        </w:r>
                      </w:p>
                    </w:tc>
                    <w:tc>
                      <w:tcPr>
                        <w:tcW w:w="786" w:type="pct"/>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26.9%</w:t>
                        </w:r>
                      </w:p>
                    </w:tc>
                    <w:tc>
                      <w:tcPr>
                        <w:tcW w:w="785" w:type="pct"/>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42.6%</w:t>
                        </w:r>
                      </w:p>
                    </w:tc>
                  </w:tr>
                  <w:tr w:rsidR="009446CC" w:rsidRPr="009446CC" w:rsidTr="004652D6">
                    <w:trPr>
                      <w:trHeight w:val="250"/>
                    </w:trPr>
                    <w:tc>
                      <w:tcPr>
                        <w:cnfStyle w:val="001000000000" w:firstRow="0" w:lastRow="0" w:firstColumn="1" w:lastColumn="0" w:oddVBand="0" w:evenVBand="0" w:oddHBand="0" w:evenHBand="0" w:firstRowFirstColumn="0" w:firstRowLastColumn="0" w:lastRowFirstColumn="0" w:lastRowLastColumn="0"/>
                        <w:tcW w:w="1074" w:type="pct"/>
                      </w:tcPr>
                      <w:p w:rsidR="009446CC" w:rsidRPr="009446CC" w:rsidRDefault="009446CC" w:rsidP="009446CC">
                        <w:pPr>
                          <w:widowControl/>
                          <w:spacing w:after="0" w:line="240" w:lineRule="auto"/>
                          <w:rPr>
                            <w:rFonts w:ascii="Arial" w:hAnsi="Arial" w:cs="Arial"/>
                            <w:sz w:val="22"/>
                            <w:szCs w:val="22"/>
                          </w:rPr>
                        </w:pPr>
                        <w:r w:rsidRPr="009446CC">
                          <w:rPr>
                            <w:rFonts w:ascii="Arial" w:hAnsi="Arial" w:cs="Arial"/>
                            <w:sz w:val="22"/>
                            <w:szCs w:val="22"/>
                          </w:rPr>
                          <w:t xml:space="preserve">California </w:t>
                        </w:r>
                      </w:p>
                    </w:tc>
                    <w:tc>
                      <w:tcPr>
                        <w:tcW w:w="785" w:type="pct"/>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27.0%</w:t>
                        </w:r>
                      </w:p>
                    </w:tc>
                    <w:tc>
                      <w:tcPr>
                        <w:tcW w:w="785" w:type="pct"/>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43.2%</w:t>
                        </w:r>
                      </w:p>
                    </w:tc>
                    <w:tc>
                      <w:tcPr>
                        <w:tcW w:w="785" w:type="pct"/>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21.4%</w:t>
                        </w:r>
                      </w:p>
                    </w:tc>
                    <w:tc>
                      <w:tcPr>
                        <w:tcW w:w="786" w:type="pct"/>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32.2%</w:t>
                        </w:r>
                      </w:p>
                    </w:tc>
                    <w:tc>
                      <w:tcPr>
                        <w:tcW w:w="785" w:type="pct"/>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42.2%</w:t>
                        </w:r>
                      </w:p>
                    </w:tc>
                  </w:tr>
                </w:tbl>
                <w:p w:rsidR="009446CC" w:rsidRPr="009446CC" w:rsidRDefault="009446CC" w:rsidP="009446CC">
                  <w:pPr>
                    <w:spacing w:after="120" w:line="240" w:lineRule="auto"/>
                    <w:rPr>
                      <w:rFonts w:ascii="Arial" w:eastAsia="Arial" w:hAnsi="Arial" w:cs="Arial"/>
                      <w:color w:val="000000"/>
                      <w:sz w:val="22"/>
                      <w:szCs w:val="22"/>
                    </w:rPr>
                  </w:pPr>
                </w:p>
              </w:tc>
            </w:tr>
          </w:tbl>
          <w:p w:rsidR="009446CC" w:rsidRPr="009446CC" w:rsidRDefault="009446CC" w:rsidP="009446CC">
            <w:pPr>
              <w:spacing w:after="120" w:line="240" w:lineRule="auto"/>
              <w:rPr>
                <w:rFonts w:ascii="Arial" w:eastAsia="Arial" w:hAnsi="Arial" w:cs="Arial"/>
                <w:i/>
                <w:color w:val="737373"/>
                <w:sz w:val="18"/>
                <w:szCs w:val="18"/>
              </w:rPr>
            </w:pPr>
            <w:r w:rsidRPr="009446CC">
              <w:rPr>
                <w:rFonts w:ascii="Arial" w:eastAsia="Arial" w:hAnsi="Arial" w:cs="Arial"/>
                <w:i/>
                <w:color w:val="737373"/>
                <w:sz w:val="18"/>
                <w:szCs w:val="18"/>
              </w:rPr>
              <w:t xml:space="preserve">Source: California Department of Education, </w:t>
            </w:r>
            <w:hyperlink r:id="rId51" w:tgtFrame="_blank" w:history="1">
              <w:r w:rsidRPr="009446CC">
                <w:rPr>
                  <w:rFonts w:ascii="Arial" w:eastAsia="Arial" w:hAnsi="Arial" w:cs="Arial"/>
                  <w:i/>
                  <w:color w:val="737373"/>
                  <w:sz w:val="18"/>
                  <w:szCs w:val="18"/>
                </w:rPr>
                <w:t>FITNESSGRAM® Physical Fitness Testing</w:t>
              </w:r>
            </w:hyperlink>
            <w:r w:rsidRPr="009446CC">
              <w:rPr>
                <w:rFonts w:ascii="Arial" w:eastAsia="Arial" w:hAnsi="Arial" w:cs="Arial"/>
                <w:i/>
                <w:color w:val="737373"/>
                <w:sz w:val="18"/>
                <w:szCs w:val="18"/>
              </w:rPr>
              <w:t>. 2013-14.</w:t>
            </w:r>
          </w:p>
          <w:p w:rsidR="009446CC" w:rsidRPr="009446CC" w:rsidRDefault="009446CC" w:rsidP="009446CC">
            <w:pPr>
              <w:spacing w:after="120" w:line="240" w:lineRule="auto"/>
              <w:rPr>
                <w:rFonts w:ascii="Arial" w:eastAsia="Arial" w:hAnsi="Arial" w:cs="Arial"/>
                <w:color w:val="000000"/>
                <w:sz w:val="22"/>
                <w:szCs w:val="22"/>
              </w:rPr>
            </w:pPr>
            <w:r w:rsidRPr="009446CC">
              <w:rPr>
                <w:rFonts w:ascii="Arial" w:eastAsia="Arial" w:hAnsi="Arial" w:cs="Arial"/>
                <w:color w:val="000000"/>
                <w:sz w:val="22"/>
                <w:szCs w:val="22"/>
              </w:rPr>
              <w:t>Non-Hispanic other races have the highest percentages of children eating less than 5 servings of fruit and vegetables in the KFH-Fontana Medical Center Service Area.</w:t>
            </w:r>
          </w:p>
          <w:p w:rsidR="009446CC" w:rsidRPr="009446CC" w:rsidRDefault="009446CC" w:rsidP="009446CC">
            <w:pPr>
              <w:spacing w:after="120" w:line="240" w:lineRule="auto"/>
              <w:jc w:val="center"/>
              <w:rPr>
                <w:rFonts w:ascii="Arial" w:eastAsia="Arial" w:hAnsi="Arial" w:cs="Arial"/>
                <w:b/>
                <w:color w:val="000000"/>
                <w:sz w:val="22"/>
                <w:szCs w:val="22"/>
              </w:rPr>
            </w:pPr>
            <w:r w:rsidRPr="009446CC">
              <w:rPr>
                <w:rFonts w:ascii="Arial" w:eastAsia="Arial" w:hAnsi="Arial" w:cs="Arial"/>
                <w:b/>
                <w:color w:val="000000"/>
                <w:sz w:val="22"/>
                <w:szCs w:val="22"/>
              </w:rPr>
              <w:t>Children Eating Less Than 5 Servings of Fruits and Vegetables by Race / Ethnicity</w:t>
            </w:r>
          </w:p>
          <w:tbl>
            <w:tblPr>
              <w:tblStyle w:val="LightList15"/>
              <w:tblW w:w="0" w:type="auto"/>
              <w:tblLook w:val="04A0" w:firstRow="1" w:lastRow="0" w:firstColumn="1" w:lastColumn="0" w:noHBand="0" w:noVBand="1"/>
            </w:tblPr>
            <w:tblGrid>
              <w:gridCol w:w="2635"/>
              <w:gridCol w:w="1926"/>
              <w:gridCol w:w="1926"/>
              <w:gridCol w:w="1926"/>
              <w:gridCol w:w="1747"/>
            </w:tblGrid>
            <w:tr w:rsidR="009446CC" w:rsidRPr="009446CC" w:rsidTr="004652D6">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635" w:type="dxa"/>
                </w:tcPr>
                <w:p w:rsidR="009446CC" w:rsidRPr="009446CC" w:rsidRDefault="009446CC" w:rsidP="009446CC">
                  <w:pPr>
                    <w:widowControl/>
                    <w:spacing w:after="0" w:line="240" w:lineRule="auto"/>
                    <w:rPr>
                      <w:rFonts w:ascii="Arial" w:hAnsi="Arial" w:cs="Arial"/>
                      <w:sz w:val="22"/>
                      <w:szCs w:val="22"/>
                    </w:rPr>
                  </w:pPr>
                </w:p>
              </w:tc>
              <w:tc>
                <w:tcPr>
                  <w:tcW w:w="1926" w:type="dxa"/>
                  <w:vAlign w:val="center"/>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Non-Hispanic White</w:t>
                  </w:r>
                </w:p>
              </w:tc>
              <w:tc>
                <w:tcPr>
                  <w:tcW w:w="1926" w:type="dxa"/>
                  <w:vAlign w:val="center"/>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Black</w:t>
                  </w:r>
                </w:p>
              </w:tc>
              <w:tc>
                <w:tcPr>
                  <w:tcW w:w="1926" w:type="dxa"/>
                  <w:vAlign w:val="center"/>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Non-Hispanic Other Race</w:t>
                  </w:r>
                </w:p>
              </w:tc>
              <w:tc>
                <w:tcPr>
                  <w:tcW w:w="1747" w:type="dxa"/>
                  <w:vAlign w:val="center"/>
                </w:tcPr>
                <w:p w:rsidR="009446CC" w:rsidRPr="009446CC" w:rsidRDefault="009446CC" w:rsidP="009446CC">
                  <w:pPr>
                    <w:widowControl/>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Hispanic or Latino</w:t>
                  </w:r>
                </w:p>
              </w:tc>
            </w:tr>
            <w:tr w:rsidR="009446CC" w:rsidRPr="009446CC" w:rsidTr="004652D6">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635" w:type="dxa"/>
                  <w:vAlign w:val="center"/>
                </w:tcPr>
                <w:p w:rsidR="009446CC" w:rsidRPr="009446CC" w:rsidRDefault="009446CC" w:rsidP="009446CC">
                  <w:pPr>
                    <w:widowControl/>
                    <w:spacing w:after="0" w:line="240" w:lineRule="auto"/>
                    <w:rPr>
                      <w:rFonts w:ascii="Arial" w:hAnsi="Arial" w:cs="Arial"/>
                      <w:sz w:val="22"/>
                      <w:szCs w:val="22"/>
                    </w:rPr>
                  </w:pPr>
                  <w:r w:rsidRPr="009446CC">
                    <w:rPr>
                      <w:rFonts w:ascii="Arial" w:hAnsi="Arial" w:cs="Arial"/>
                      <w:sz w:val="22"/>
                      <w:szCs w:val="22"/>
                    </w:rPr>
                    <w:t>KFH-Fontana MCSA</w:t>
                  </w:r>
                </w:p>
              </w:tc>
              <w:tc>
                <w:tcPr>
                  <w:tcW w:w="1926" w:type="dxa"/>
                  <w:vAlign w:val="center"/>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43.4%</w:t>
                  </w:r>
                </w:p>
              </w:tc>
              <w:tc>
                <w:tcPr>
                  <w:tcW w:w="1926" w:type="dxa"/>
                  <w:vAlign w:val="center"/>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40.0%</w:t>
                  </w:r>
                </w:p>
              </w:tc>
              <w:tc>
                <w:tcPr>
                  <w:tcW w:w="1926" w:type="dxa"/>
                  <w:vAlign w:val="center"/>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color w:val="FF0000"/>
                      <w:sz w:val="22"/>
                      <w:szCs w:val="22"/>
                    </w:rPr>
                    <w:t>62.4%</w:t>
                  </w:r>
                </w:p>
              </w:tc>
              <w:tc>
                <w:tcPr>
                  <w:tcW w:w="1747" w:type="dxa"/>
                  <w:vAlign w:val="center"/>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48.2%</w:t>
                  </w:r>
                </w:p>
              </w:tc>
            </w:tr>
            <w:tr w:rsidR="009446CC" w:rsidRPr="009446CC" w:rsidTr="004652D6">
              <w:trPr>
                <w:trHeight w:val="304"/>
              </w:trPr>
              <w:tc>
                <w:tcPr>
                  <w:cnfStyle w:val="001000000000" w:firstRow="0" w:lastRow="0" w:firstColumn="1" w:lastColumn="0" w:oddVBand="0" w:evenVBand="0" w:oddHBand="0" w:evenHBand="0" w:firstRowFirstColumn="0" w:firstRowLastColumn="0" w:lastRowFirstColumn="0" w:lastRowLastColumn="0"/>
                  <w:tcW w:w="2635" w:type="dxa"/>
                  <w:vAlign w:val="center"/>
                </w:tcPr>
                <w:p w:rsidR="009446CC" w:rsidRPr="009446CC" w:rsidRDefault="009446CC" w:rsidP="009446CC">
                  <w:pPr>
                    <w:widowControl/>
                    <w:spacing w:after="0" w:line="240" w:lineRule="auto"/>
                    <w:rPr>
                      <w:rFonts w:ascii="Arial" w:hAnsi="Arial" w:cs="Arial"/>
                      <w:sz w:val="22"/>
                      <w:szCs w:val="22"/>
                    </w:rPr>
                  </w:pPr>
                  <w:r w:rsidRPr="009446CC">
                    <w:rPr>
                      <w:rFonts w:ascii="Arial" w:hAnsi="Arial" w:cs="Arial"/>
                      <w:sz w:val="22"/>
                      <w:szCs w:val="22"/>
                    </w:rPr>
                    <w:t>KFH-Ontario MCSA</w:t>
                  </w:r>
                </w:p>
              </w:tc>
              <w:tc>
                <w:tcPr>
                  <w:tcW w:w="1926" w:type="dxa"/>
                  <w:vAlign w:val="center"/>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45.9%</w:t>
                  </w:r>
                </w:p>
              </w:tc>
              <w:tc>
                <w:tcPr>
                  <w:tcW w:w="1926" w:type="dxa"/>
                  <w:vAlign w:val="center"/>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38.2%</w:t>
                  </w:r>
                </w:p>
              </w:tc>
              <w:tc>
                <w:tcPr>
                  <w:tcW w:w="1926" w:type="dxa"/>
                  <w:vAlign w:val="center"/>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44.0%</w:t>
                  </w:r>
                </w:p>
              </w:tc>
              <w:tc>
                <w:tcPr>
                  <w:tcW w:w="1747" w:type="dxa"/>
                  <w:vAlign w:val="center"/>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46.2%</w:t>
                  </w:r>
                </w:p>
              </w:tc>
            </w:tr>
            <w:tr w:rsidR="009446CC" w:rsidRPr="009446CC" w:rsidTr="004652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35" w:type="dxa"/>
                </w:tcPr>
                <w:p w:rsidR="009446CC" w:rsidRPr="009446CC" w:rsidRDefault="009446CC" w:rsidP="009446CC">
                  <w:pPr>
                    <w:widowControl/>
                    <w:spacing w:after="0" w:line="240" w:lineRule="auto"/>
                    <w:rPr>
                      <w:rFonts w:ascii="Arial" w:hAnsi="Arial" w:cs="Arial"/>
                      <w:sz w:val="22"/>
                      <w:szCs w:val="22"/>
                    </w:rPr>
                  </w:pPr>
                  <w:r w:rsidRPr="009446CC">
                    <w:rPr>
                      <w:rFonts w:ascii="Arial" w:eastAsia="Calibri" w:hAnsi="Arial" w:cs="Arial"/>
                      <w:sz w:val="22"/>
                      <w:szCs w:val="22"/>
                    </w:rPr>
                    <w:t>S CA MCA</w:t>
                  </w:r>
                </w:p>
              </w:tc>
              <w:tc>
                <w:tcPr>
                  <w:tcW w:w="1926" w:type="dxa"/>
                  <w:vAlign w:val="center"/>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46.8%</w:t>
                  </w:r>
                </w:p>
              </w:tc>
              <w:tc>
                <w:tcPr>
                  <w:tcW w:w="1926" w:type="dxa"/>
                  <w:vAlign w:val="center"/>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36.8%</w:t>
                  </w:r>
                </w:p>
              </w:tc>
              <w:tc>
                <w:tcPr>
                  <w:tcW w:w="1926" w:type="dxa"/>
                  <w:vAlign w:val="center"/>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44.8%</w:t>
                  </w:r>
                </w:p>
              </w:tc>
              <w:tc>
                <w:tcPr>
                  <w:tcW w:w="1747" w:type="dxa"/>
                  <w:vAlign w:val="center"/>
                </w:tcPr>
                <w:p w:rsidR="009446CC" w:rsidRPr="009446CC" w:rsidRDefault="009446CC" w:rsidP="009446CC">
                  <w:pPr>
                    <w:widowControl/>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446CC">
                    <w:rPr>
                      <w:rFonts w:ascii="Arial" w:hAnsi="Arial" w:cs="Arial"/>
                      <w:sz w:val="22"/>
                      <w:szCs w:val="22"/>
                    </w:rPr>
                    <w:t>46.5%</w:t>
                  </w:r>
                </w:p>
              </w:tc>
            </w:tr>
            <w:tr w:rsidR="009446CC" w:rsidRPr="009446CC" w:rsidTr="004652D6">
              <w:trPr>
                <w:trHeight w:val="337"/>
              </w:trPr>
              <w:tc>
                <w:tcPr>
                  <w:cnfStyle w:val="001000000000" w:firstRow="0" w:lastRow="0" w:firstColumn="1" w:lastColumn="0" w:oddVBand="0" w:evenVBand="0" w:oddHBand="0" w:evenHBand="0" w:firstRowFirstColumn="0" w:firstRowLastColumn="0" w:lastRowFirstColumn="0" w:lastRowLastColumn="0"/>
                  <w:tcW w:w="2635" w:type="dxa"/>
                </w:tcPr>
                <w:p w:rsidR="009446CC" w:rsidRPr="009446CC" w:rsidRDefault="009446CC" w:rsidP="009446CC">
                  <w:pPr>
                    <w:widowControl/>
                    <w:spacing w:after="0" w:line="240" w:lineRule="auto"/>
                    <w:rPr>
                      <w:rFonts w:ascii="Arial" w:hAnsi="Arial" w:cs="Arial"/>
                      <w:sz w:val="22"/>
                      <w:szCs w:val="22"/>
                    </w:rPr>
                  </w:pPr>
                  <w:r w:rsidRPr="009446CC">
                    <w:rPr>
                      <w:rFonts w:ascii="Arial" w:hAnsi="Arial" w:cs="Arial"/>
                      <w:sz w:val="22"/>
                      <w:szCs w:val="22"/>
                    </w:rPr>
                    <w:t>California</w:t>
                  </w:r>
                </w:p>
              </w:tc>
              <w:tc>
                <w:tcPr>
                  <w:tcW w:w="1926" w:type="dxa"/>
                  <w:vAlign w:val="center"/>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49.1%</w:t>
                  </w:r>
                </w:p>
              </w:tc>
              <w:tc>
                <w:tcPr>
                  <w:tcW w:w="1926" w:type="dxa"/>
                  <w:vAlign w:val="center"/>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31.2%</w:t>
                  </w:r>
                </w:p>
              </w:tc>
              <w:tc>
                <w:tcPr>
                  <w:tcW w:w="1926" w:type="dxa"/>
                  <w:vAlign w:val="center"/>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63.7%</w:t>
                  </w:r>
                </w:p>
              </w:tc>
              <w:tc>
                <w:tcPr>
                  <w:tcW w:w="1747" w:type="dxa"/>
                  <w:vAlign w:val="center"/>
                </w:tcPr>
                <w:p w:rsidR="009446CC" w:rsidRPr="009446CC" w:rsidRDefault="009446CC" w:rsidP="009446CC">
                  <w:pPr>
                    <w:widowControl/>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46CC">
                    <w:rPr>
                      <w:rFonts w:ascii="Arial" w:hAnsi="Arial" w:cs="Arial"/>
                      <w:sz w:val="22"/>
                      <w:szCs w:val="22"/>
                    </w:rPr>
                    <w:t>46.8%</w:t>
                  </w:r>
                </w:p>
              </w:tc>
            </w:tr>
          </w:tbl>
          <w:p w:rsidR="009446CC" w:rsidRPr="009446CC" w:rsidRDefault="009446CC" w:rsidP="009446CC">
            <w:pPr>
              <w:spacing w:after="120" w:line="240" w:lineRule="auto"/>
              <w:rPr>
                <w:rFonts w:ascii="Arial" w:eastAsia="Arial" w:hAnsi="Arial" w:cs="Arial"/>
                <w:i/>
                <w:color w:val="737373"/>
                <w:sz w:val="18"/>
                <w:szCs w:val="18"/>
              </w:rPr>
            </w:pPr>
            <w:r w:rsidRPr="009446CC">
              <w:rPr>
                <w:rFonts w:ascii="Arial" w:eastAsia="Arial" w:hAnsi="Arial" w:cs="Arial"/>
                <w:i/>
                <w:color w:val="737373"/>
                <w:sz w:val="18"/>
                <w:szCs w:val="18"/>
              </w:rPr>
              <w:t xml:space="preserve">Source: University of California Center for Health Policy Research, </w:t>
            </w:r>
            <w:hyperlink r:id="rId52" w:tgtFrame="_blank" w:history="1">
              <w:r w:rsidRPr="009446CC">
                <w:rPr>
                  <w:rFonts w:ascii="Arial" w:eastAsia="Arial" w:hAnsi="Arial" w:cs="Arial"/>
                  <w:i/>
                  <w:color w:val="737373"/>
                  <w:sz w:val="18"/>
                  <w:szCs w:val="18"/>
                </w:rPr>
                <w:t>California Health Interview Survey</w:t>
              </w:r>
            </w:hyperlink>
            <w:r w:rsidRPr="009446CC">
              <w:rPr>
                <w:rFonts w:ascii="Arial" w:eastAsia="Arial" w:hAnsi="Arial" w:cs="Arial"/>
                <w:i/>
                <w:color w:val="737373"/>
                <w:sz w:val="18"/>
                <w:szCs w:val="18"/>
              </w:rPr>
              <w:t>. 2011-12.</w:t>
            </w:r>
          </w:p>
        </w:tc>
      </w:tr>
      <w:tr w:rsidR="009446CC" w:rsidRPr="009446CC" w:rsidTr="00DD3844">
        <w:tblPrEx>
          <w:jc w:val="left"/>
        </w:tblPrEx>
        <w:trPr>
          <w:trHeight w:val="5669"/>
        </w:trPr>
        <w:tc>
          <w:tcPr>
            <w:tcW w:w="10180" w:type="dxa"/>
            <w:gridSpan w:val="5"/>
            <w:shd w:val="clear" w:color="auto" w:fill="D9D9D9" w:themeFill="background1" w:themeFillShade="D9"/>
            <w:tcMar>
              <w:top w:w="100" w:type="dxa"/>
              <w:left w:w="100" w:type="dxa"/>
              <w:bottom w:w="100" w:type="dxa"/>
              <w:right w:w="100" w:type="dxa"/>
            </w:tcMar>
          </w:tcPr>
          <w:p w:rsidR="009446CC" w:rsidRPr="009446CC" w:rsidRDefault="009446CC" w:rsidP="009446CC">
            <w:pPr>
              <w:spacing w:after="120" w:line="240" w:lineRule="auto"/>
              <w:ind w:left="-15" w:right="-15" w:hanging="15"/>
              <w:jc w:val="both"/>
              <w:rPr>
                <w:rFonts w:ascii="Arial" w:eastAsia="Arial" w:hAnsi="Arial" w:cs="Arial"/>
                <w:b/>
                <w:noProof/>
                <w:color w:val="000000"/>
                <w:sz w:val="22"/>
                <w:szCs w:val="22"/>
              </w:rPr>
            </w:pPr>
            <w:r w:rsidRPr="009446CC">
              <w:rPr>
                <w:rFonts w:ascii="Arial" w:eastAsia="Arial" w:hAnsi="Arial" w:cs="Arial"/>
                <w:b/>
                <w:noProof/>
                <w:color w:val="000000"/>
                <w:sz w:val="22"/>
                <w:szCs w:val="22"/>
              </w:rPr>
              <w:t>Community Description of Disparities</w:t>
            </w:r>
          </w:p>
          <w:p w:rsidR="009446CC" w:rsidRPr="009446CC" w:rsidRDefault="009446CC" w:rsidP="009446CC">
            <w:pPr>
              <w:spacing w:after="120" w:line="240" w:lineRule="auto"/>
              <w:ind w:left="-15" w:right="-15" w:hanging="15"/>
              <w:jc w:val="both"/>
              <w:rPr>
                <w:rFonts w:ascii="Arial" w:eastAsia="Arial" w:hAnsi="Arial" w:cs="Arial"/>
                <w:noProof/>
                <w:color w:val="000000"/>
                <w:sz w:val="22"/>
                <w:szCs w:val="22"/>
              </w:rPr>
            </w:pPr>
            <w:r w:rsidRPr="009446CC">
              <w:rPr>
                <w:rFonts w:ascii="Arial" w:eastAsia="Arial" w:hAnsi="Arial" w:cs="Arial"/>
                <w:noProof/>
                <w:color w:val="000000"/>
                <w:sz w:val="22"/>
                <w:szCs w:val="22"/>
              </w:rPr>
              <w:t xml:space="preserve">Community leaders report that individuals living in </w:t>
            </w:r>
            <w:r w:rsidRPr="009446CC">
              <w:rPr>
                <w:rFonts w:ascii="Arial" w:eastAsia="Arial" w:hAnsi="Arial" w:cs="Arial"/>
                <w:b/>
                <w:noProof/>
                <w:color w:val="000000"/>
                <w:sz w:val="22"/>
                <w:szCs w:val="22"/>
              </w:rPr>
              <w:t>low-income households, seniors, African Americans and Latinos</w:t>
            </w:r>
            <w:r w:rsidRPr="009446CC">
              <w:rPr>
                <w:rFonts w:ascii="Arial" w:eastAsia="Arial" w:hAnsi="Arial" w:cs="Arial"/>
                <w:noProof/>
                <w:color w:val="000000"/>
                <w:sz w:val="22"/>
                <w:szCs w:val="22"/>
              </w:rPr>
              <w:t xml:space="preserve"> are at greater risk for obesity and subsequently diabetes, due to poor diet and lack of physical activity. While poverty plays a role in limiting food choices, there is also the need for culturally sensitive approaches to providing education about healthy diet and food preparation. Geographically, access to fresh fruits and vegetables is more challengeing in the the </w:t>
            </w:r>
            <w:r w:rsidRPr="009446CC">
              <w:rPr>
                <w:rFonts w:ascii="Arial" w:eastAsia="Arial" w:hAnsi="Arial" w:cs="Arial"/>
                <w:b/>
                <w:noProof/>
                <w:color w:val="000000"/>
                <w:sz w:val="22"/>
                <w:szCs w:val="22"/>
              </w:rPr>
              <w:t xml:space="preserve">Mountains and High Desert regions of the </w:t>
            </w:r>
            <w:r w:rsidRPr="009446CC">
              <w:rPr>
                <w:rFonts w:ascii="Arial" w:eastAsia="Arial" w:hAnsi="Arial" w:cs="Arial"/>
                <w:noProof/>
                <w:color w:val="000000"/>
                <w:sz w:val="22"/>
                <w:szCs w:val="22"/>
              </w:rPr>
              <w:t>KFH-Fontana Medical Center Service Area, especially in Joshua Tree, Yucca Valley and 29 Palms where there are few afforadable grocery outlets.</w:t>
            </w:r>
          </w:p>
        </w:tc>
      </w:tr>
      <w:tr w:rsidR="009446CC" w:rsidRPr="009446CC" w:rsidTr="00DD3844">
        <w:tblPrEx>
          <w:jc w:val="left"/>
        </w:tblPrEx>
        <w:trPr>
          <w:trHeight w:val="420"/>
        </w:trPr>
        <w:tc>
          <w:tcPr>
            <w:tcW w:w="10180" w:type="dxa"/>
            <w:gridSpan w:val="5"/>
            <w:shd w:val="clear" w:color="auto" w:fill="006D9D"/>
            <w:tcMar>
              <w:top w:w="57" w:type="dxa"/>
              <w:left w:w="57" w:type="dxa"/>
              <w:bottom w:w="57" w:type="dxa"/>
              <w:right w:w="57" w:type="dxa"/>
            </w:tcMar>
          </w:tcPr>
          <w:p w:rsidR="009446CC" w:rsidRPr="009446CC" w:rsidRDefault="009446CC" w:rsidP="009446CC">
            <w:pPr>
              <w:spacing w:after="120" w:line="240" w:lineRule="auto"/>
              <w:rPr>
                <w:rFonts w:ascii="Arial" w:eastAsia="Arial" w:hAnsi="Arial" w:cs="Arial"/>
                <w:color w:val="000000"/>
                <w:sz w:val="22"/>
                <w:szCs w:val="22"/>
              </w:rPr>
            </w:pPr>
            <w:r w:rsidRPr="009446CC">
              <w:rPr>
                <w:rFonts w:ascii="Arial" w:eastAsia="Arial" w:hAnsi="Arial" w:cs="Arial"/>
                <w:b/>
                <w:color w:val="FFFFFF"/>
                <w:sz w:val="32"/>
                <w:szCs w:val="32"/>
              </w:rPr>
              <w:t xml:space="preserve">Key Health Drivers </w:t>
            </w:r>
          </w:p>
        </w:tc>
      </w:tr>
      <w:tr w:rsidR="009446CC" w:rsidRPr="009446CC" w:rsidTr="00C542D4">
        <w:tblPrEx>
          <w:jc w:val="left"/>
        </w:tblPrEx>
        <w:trPr>
          <w:trHeight w:val="420"/>
        </w:trPr>
        <w:tc>
          <w:tcPr>
            <w:tcW w:w="2646" w:type="dxa"/>
            <w:gridSpan w:val="2"/>
            <w:tcMar>
              <w:top w:w="14" w:type="dxa"/>
              <w:left w:w="14" w:type="dxa"/>
              <w:bottom w:w="14" w:type="dxa"/>
              <w:right w:w="14" w:type="dxa"/>
            </w:tcMar>
          </w:tcPr>
          <w:p w:rsidR="009446CC" w:rsidRPr="009446CC" w:rsidRDefault="009446CC" w:rsidP="009446CC">
            <w:pPr>
              <w:spacing w:after="120" w:line="240" w:lineRule="auto"/>
              <w:ind w:left="-32"/>
              <w:jc w:val="center"/>
              <w:rPr>
                <w:rFonts w:ascii="Arial" w:eastAsia="Arial" w:hAnsi="Arial" w:cs="Arial"/>
                <w:color w:val="000000"/>
                <w:sz w:val="22"/>
                <w:szCs w:val="22"/>
              </w:rPr>
            </w:pPr>
            <w:r w:rsidRPr="009446CC">
              <w:rPr>
                <w:rFonts w:ascii="Arial" w:eastAsia="Arial" w:hAnsi="Arial" w:cs="Arial"/>
                <w:noProof/>
                <w:color w:val="000000"/>
                <w:sz w:val="22"/>
                <w:szCs w:val="22"/>
              </w:rPr>
              <w:drawing>
                <wp:inline distT="114300" distB="114300" distL="114300" distR="114300" wp14:anchorId="77ADD77F" wp14:editId="63312942">
                  <wp:extent cx="728663" cy="507297"/>
                  <wp:effectExtent l="0" t="0" r="0" b="0"/>
                  <wp:docPr id="1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3"/>
                          <a:srcRect t="16455" b="13923"/>
                          <a:stretch>
                            <a:fillRect/>
                          </a:stretch>
                        </pic:blipFill>
                        <pic:spPr>
                          <a:xfrm>
                            <a:off x="0" y="0"/>
                            <a:ext cx="728663" cy="507297"/>
                          </a:xfrm>
                          <a:prstGeom prst="rect">
                            <a:avLst/>
                          </a:prstGeom>
                          <a:ln/>
                        </pic:spPr>
                      </pic:pic>
                    </a:graphicData>
                  </a:graphic>
                </wp:inline>
              </w:drawing>
            </w:r>
          </w:p>
        </w:tc>
        <w:tc>
          <w:tcPr>
            <w:tcW w:w="7534" w:type="dxa"/>
            <w:gridSpan w:val="3"/>
            <w:tcMar>
              <w:top w:w="100" w:type="dxa"/>
              <w:left w:w="100" w:type="dxa"/>
              <w:bottom w:w="100" w:type="dxa"/>
              <w:right w:w="100" w:type="dxa"/>
            </w:tcMar>
            <w:vAlign w:val="center"/>
          </w:tcPr>
          <w:p w:rsidR="009446CC" w:rsidRPr="009446CC" w:rsidRDefault="009446CC" w:rsidP="009446CC">
            <w:pPr>
              <w:spacing w:after="120" w:line="240" w:lineRule="auto"/>
              <w:ind w:left="35"/>
              <w:rPr>
                <w:rFonts w:ascii="Arial" w:eastAsia="Arial" w:hAnsi="Arial" w:cs="Arial"/>
                <w:color w:val="000000"/>
                <w:sz w:val="22"/>
                <w:szCs w:val="22"/>
              </w:rPr>
            </w:pPr>
            <w:r w:rsidRPr="009446CC">
              <w:rPr>
                <w:rFonts w:ascii="Arial" w:eastAsia="Arial" w:hAnsi="Arial" w:cs="Arial"/>
                <w:b/>
                <w:color w:val="000000"/>
                <w:sz w:val="28"/>
                <w:szCs w:val="28"/>
              </w:rPr>
              <w:t>Health Behaviors</w:t>
            </w:r>
          </w:p>
        </w:tc>
      </w:tr>
      <w:tr w:rsidR="009446CC" w:rsidRPr="009446CC" w:rsidTr="00C542D4">
        <w:tblPrEx>
          <w:jc w:val="left"/>
        </w:tblPrEx>
        <w:trPr>
          <w:trHeight w:val="350"/>
        </w:trPr>
        <w:tc>
          <w:tcPr>
            <w:tcW w:w="10180" w:type="dxa"/>
            <w:gridSpan w:val="5"/>
            <w:tcMar>
              <w:top w:w="100" w:type="dxa"/>
              <w:left w:w="100" w:type="dxa"/>
              <w:bottom w:w="100" w:type="dxa"/>
              <w:right w:w="100" w:type="dxa"/>
            </w:tcMar>
          </w:tcPr>
          <w:p w:rsidR="009446CC" w:rsidRPr="009446CC" w:rsidRDefault="009446CC" w:rsidP="009446CC">
            <w:pPr>
              <w:spacing w:after="200" w:line="240" w:lineRule="auto"/>
              <w:ind w:left="50"/>
              <w:rPr>
                <w:rFonts w:ascii="Arial" w:eastAsia="Arial" w:hAnsi="Arial" w:cs="Arial"/>
                <w:color w:val="075290"/>
                <w:sz w:val="22"/>
                <w:szCs w:val="22"/>
                <w:u w:val="single"/>
              </w:rPr>
            </w:pPr>
            <w:r w:rsidRPr="009446CC">
              <w:rPr>
                <w:rFonts w:ascii="Arial" w:eastAsia="Arial" w:hAnsi="Arial" w:cs="Arial"/>
                <w:b/>
                <w:color w:val="000000"/>
                <w:sz w:val="22"/>
                <w:szCs w:val="22"/>
              </w:rPr>
              <w:t xml:space="preserve">Fruit and Vegetable Consumption. </w:t>
            </w:r>
            <w:r w:rsidRPr="009446CC">
              <w:rPr>
                <w:rFonts w:ascii="Arial" w:eastAsia="Arial" w:hAnsi="Arial" w:cs="Arial"/>
                <w:color w:val="000000"/>
                <w:sz w:val="22"/>
                <w:szCs w:val="22"/>
              </w:rPr>
              <w:t>This indicator reports the percentage of adults age 18 and older who self-report consuming less than 5 servings of fruits and vegetables each day. This indicator is relevant because current behaviors are determinants of future health, and because unhealthy eating habits may illustrate a cause of significant health issues, such as obesity and diabetes. A slightly higher percentage of adults in the KFH-Fontana/Ontario Medical Center Service Areas have inadequate fruit/vegetable consumption compared to the S CA MCA and state.</w:t>
            </w:r>
          </w:p>
          <w:p w:rsidR="009446CC" w:rsidRPr="009446CC" w:rsidRDefault="009446CC" w:rsidP="009446CC">
            <w:pPr>
              <w:spacing w:after="120" w:line="240" w:lineRule="auto"/>
              <w:jc w:val="center"/>
              <w:rPr>
                <w:rFonts w:ascii="Arial" w:eastAsia="Arial" w:hAnsi="Arial" w:cs="Arial"/>
                <w:b/>
                <w:color w:val="000000"/>
                <w:sz w:val="22"/>
                <w:szCs w:val="22"/>
              </w:rPr>
            </w:pPr>
            <w:r w:rsidRPr="009446CC">
              <w:rPr>
                <w:rFonts w:ascii="Arial" w:eastAsia="Arial" w:hAnsi="Arial" w:cs="Arial"/>
                <w:b/>
                <w:color w:val="000000"/>
                <w:sz w:val="22"/>
                <w:szCs w:val="22"/>
              </w:rPr>
              <w:t>Adults with Inadequate Fruit / Vegetable Consumption (Age-Adjusted)</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45"/>
              <w:gridCol w:w="2545"/>
              <w:gridCol w:w="2545"/>
              <w:gridCol w:w="2545"/>
            </w:tblGrid>
            <w:tr w:rsidR="009446CC" w:rsidRPr="009446CC" w:rsidTr="004652D6">
              <w:trPr>
                <w:trHeight w:val="261"/>
              </w:trPr>
              <w:tc>
                <w:tcPr>
                  <w:tcW w:w="2545" w:type="dxa"/>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Arial" w:hAnsi="Arial" w:cs="Arial"/>
                      <w:color w:val="FFFFFF"/>
                      <w:sz w:val="22"/>
                      <w:szCs w:val="22"/>
                    </w:rPr>
                    <w:t>KFH-Fontana MCSA</w:t>
                  </w:r>
                </w:p>
              </w:tc>
              <w:tc>
                <w:tcPr>
                  <w:tcW w:w="2545" w:type="dxa"/>
                  <w:tcBorders>
                    <w:right w:val="single" w:sz="4" w:space="0" w:color="auto"/>
                  </w:tcBorders>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FFFFFF"/>
                      <w:sz w:val="22"/>
                      <w:szCs w:val="22"/>
                    </w:rPr>
                  </w:pPr>
                  <w:r w:rsidRPr="009446CC">
                    <w:rPr>
                      <w:rFonts w:ascii="Arial" w:eastAsia="Arial" w:hAnsi="Arial" w:cs="Arial"/>
                      <w:color w:val="FFFFFF"/>
                      <w:sz w:val="22"/>
                      <w:szCs w:val="22"/>
                    </w:rPr>
                    <w:t>KFH-Ontario MCSA</w:t>
                  </w:r>
                </w:p>
              </w:tc>
              <w:tc>
                <w:tcPr>
                  <w:tcW w:w="2545" w:type="dxa"/>
                  <w:tcBorders>
                    <w:left w:val="single" w:sz="4" w:space="0" w:color="auto"/>
                  </w:tcBorders>
                  <w:shd w:val="clear" w:color="auto" w:fill="000000"/>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Calibri" w:hAnsi="Arial" w:cs="Arial"/>
                      <w:sz w:val="22"/>
                      <w:szCs w:val="22"/>
                    </w:rPr>
                    <w:t>S CA MCA</w:t>
                  </w:r>
                </w:p>
              </w:tc>
              <w:tc>
                <w:tcPr>
                  <w:tcW w:w="2545" w:type="dxa"/>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Arial" w:hAnsi="Arial" w:cs="Arial"/>
                      <w:color w:val="FFFFFF"/>
                      <w:sz w:val="22"/>
                      <w:szCs w:val="22"/>
                    </w:rPr>
                    <w:t>California</w:t>
                  </w:r>
                </w:p>
              </w:tc>
            </w:tr>
            <w:tr w:rsidR="009446CC" w:rsidRPr="009446CC" w:rsidTr="004652D6">
              <w:trPr>
                <w:trHeight w:val="286"/>
              </w:trPr>
              <w:tc>
                <w:tcPr>
                  <w:tcW w:w="2545" w:type="dxa"/>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color w:val="FF0000"/>
                      <w:sz w:val="22"/>
                      <w:szCs w:val="22"/>
                    </w:rPr>
                    <w:t>73.1%</w:t>
                  </w:r>
                </w:p>
              </w:tc>
              <w:tc>
                <w:tcPr>
                  <w:tcW w:w="2545" w:type="dxa"/>
                  <w:tcBorders>
                    <w:right w:val="single" w:sz="4" w:space="0" w:color="auto"/>
                  </w:tcBorders>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73.0%</w:t>
                  </w:r>
                </w:p>
              </w:tc>
              <w:tc>
                <w:tcPr>
                  <w:tcW w:w="2545" w:type="dxa"/>
                  <w:tcBorders>
                    <w:left w:val="single" w:sz="4" w:space="0" w:color="auto"/>
                  </w:tcBorders>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72.2%</w:t>
                  </w:r>
                </w:p>
              </w:tc>
              <w:tc>
                <w:tcPr>
                  <w:tcW w:w="2545" w:type="dxa"/>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71.5%</w:t>
                  </w:r>
                </w:p>
              </w:tc>
            </w:tr>
          </w:tbl>
          <w:p w:rsidR="009446CC" w:rsidRPr="009446CC" w:rsidRDefault="009446CC" w:rsidP="009446CC">
            <w:pPr>
              <w:spacing w:after="120" w:line="240" w:lineRule="auto"/>
              <w:rPr>
                <w:rFonts w:ascii="Arial" w:eastAsia="Arial" w:hAnsi="Arial" w:cs="Arial"/>
                <w:i/>
                <w:iCs/>
                <w:color w:val="737373"/>
                <w:sz w:val="18"/>
                <w:szCs w:val="18"/>
              </w:rPr>
            </w:pPr>
            <w:r w:rsidRPr="009446CC">
              <w:rPr>
                <w:rFonts w:ascii="Arial" w:eastAsia="Arial" w:hAnsi="Arial" w:cs="Arial"/>
                <w:i/>
                <w:color w:val="737373"/>
                <w:sz w:val="18"/>
                <w:szCs w:val="18"/>
              </w:rPr>
              <w:t xml:space="preserve">Source: </w:t>
            </w:r>
            <w:r w:rsidRPr="009446CC">
              <w:rPr>
                <w:rFonts w:ascii="Arial" w:eastAsia="Arial" w:hAnsi="Arial" w:cs="Arial"/>
                <w:i/>
                <w:iCs/>
                <w:color w:val="737373"/>
                <w:sz w:val="18"/>
                <w:szCs w:val="18"/>
              </w:rPr>
              <w:t>Centers for Disease Control and Prevention, Behavioral Risk Factor Surveillance System. Accessed via the Health Indicators Warehouse. US Department of Health &amp; Human Services, Health Indicators Warehouse. 2005-09.</w:t>
            </w:r>
          </w:p>
          <w:p w:rsidR="009446CC" w:rsidRPr="009446CC" w:rsidRDefault="009446CC" w:rsidP="009446CC">
            <w:pPr>
              <w:spacing w:after="120" w:line="240" w:lineRule="auto"/>
              <w:rPr>
                <w:rFonts w:ascii="Arial" w:eastAsia="Arial" w:hAnsi="Arial" w:cs="Arial"/>
                <w:i/>
                <w:iCs/>
                <w:color w:val="737373"/>
                <w:sz w:val="18"/>
                <w:szCs w:val="18"/>
              </w:rPr>
            </w:pPr>
          </w:p>
          <w:p w:rsidR="009446CC" w:rsidRPr="009446CC" w:rsidRDefault="009446CC" w:rsidP="009446CC">
            <w:pPr>
              <w:spacing w:after="200" w:line="240" w:lineRule="auto"/>
              <w:ind w:left="50"/>
              <w:rPr>
                <w:rFonts w:ascii="Arial" w:eastAsia="Arial" w:hAnsi="Arial" w:cs="Arial"/>
                <w:color w:val="000000"/>
                <w:sz w:val="22"/>
                <w:szCs w:val="22"/>
              </w:rPr>
            </w:pPr>
            <w:r w:rsidRPr="009446CC">
              <w:rPr>
                <w:rFonts w:ascii="Arial" w:eastAsia="Arial" w:hAnsi="Arial" w:cs="Arial"/>
                <w:b/>
                <w:color w:val="000000"/>
                <w:sz w:val="22"/>
                <w:szCs w:val="22"/>
              </w:rPr>
              <w:t xml:space="preserve">Physical Activity. </w:t>
            </w:r>
            <w:r w:rsidRPr="009446CC">
              <w:rPr>
                <w:rFonts w:ascii="Arial" w:eastAsia="Arial" w:hAnsi="Arial" w:cs="Arial"/>
                <w:color w:val="000000"/>
                <w:sz w:val="22"/>
                <w:szCs w:val="22"/>
              </w:rPr>
              <w:t>This indicator reports the percentage of adults age 20 and older who self-report that they perform no leisure time activity, based on the question: "During the past month, other than your regular job, did you participate in any physical activities or exercises such as running, calisthenics, golf, gardening, or walking for exercise?". This indicator is relevant because current behaviors are determinants of future health and this indicator may illustrate a cause of significant health issues, such as obesity and poor cardiovascular health. A higher percentage of adults in the KFH-Fontana/Ontario Medical Center Service Areas have no leisure time physical activity.</w:t>
            </w:r>
          </w:p>
          <w:p w:rsidR="009446CC" w:rsidRPr="009446CC" w:rsidRDefault="009446CC" w:rsidP="009446CC">
            <w:pPr>
              <w:spacing w:after="120" w:line="240" w:lineRule="auto"/>
              <w:jc w:val="center"/>
              <w:rPr>
                <w:rFonts w:ascii="Arial" w:eastAsia="Arial" w:hAnsi="Arial" w:cs="Arial"/>
                <w:b/>
                <w:color w:val="000000"/>
                <w:sz w:val="22"/>
                <w:szCs w:val="22"/>
              </w:rPr>
            </w:pPr>
            <w:r w:rsidRPr="009446CC">
              <w:rPr>
                <w:rFonts w:ascii="Arial" w:eastAsia="Arial" w:hAnsi="Arial" w:cs="Arial"/>
                <w:b/>
                <w:color w:val="000000"/>
                <w:sz w:val="22"/>
                <w:szCs w:val="22"/>
              </w:rPr>
              <w:t>Adults with no Leisure Time Physical Activity (Age-Adjusted)</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45"/>
              <w:gridCol w:w="2545"/>
              <w:gridCol w:w="2545"/>
              <w:gridCol w:w="2545"/>
            </w:tblGrid>
            <w:tr w:rsidR="009446CC" w:rsidRPr="009446CC" w:rsidTr="004652D6">
              <w:trPr>
                <w:trHeight w:val="261"/>
              </w:trPr>
              <w:tc>
                <w:tcPr>
                  <w:tcW w:w="2545" w:type="dxa"/>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Arial" w:hAnsi="Arial" w:cs="Arial"/>
                      <w:color w:val="FFFFFF"/>
                      <w:sz w:val="22"/>
                      <w:szCs w:val="22"/>
                    </w:rPr>
                    <w:t>KFH-Fontana MCSA</w:t>
                  </w:r>
                </w:p>
              </w:tc>
              <w:tc>
                <w:tcPr>
                  <w:tcW w:w="2545" w:type="dxa"/>
                  <w:tcBorders>
                    <w:right w:val="single" w:sz="4" w:space="0" w:color="auto"/>
                  </w:tcBorders>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FFFFFF"/>
                      <w:sz w:val="22"/>
                      <w:szCs w:val="22"/>
                    </w:rPr>
                  </w:pPr>
                  <w:r w:rsidRPr="009446CC">
                    <w:rPr>
                      <w:rFonts w:ascii="Arial" w:eastAsia="Arial" w:hAnsi="Arial" w:cs="Arial"/>
                      <w:color w:val="FFFFFF"/>
                      <w:sz w:val="22"/>
                      <w:szCs w:val="22"/>
                    </w:rPr>
                    <w:t>KFH-Ontario MCSA</w:t>
                  </w:r>
                </w:p>
              </w:tc>
              <w:tc>
                <w:tcPr>
                  <w:tcW w:w="2545" w:type="dxa"/>
                  <w:tcBorders>
                    <w:left w:val="single" w:sz="4" w:space="0" w:color="auto"/>
                  </w:tcBorders>
                  <w:shd w:val="clear" w:color="auto" w:fill="000000"/>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Calibri" w:hAnsi="Arial" w:cs="Arial"/>
                      <w:sz w:val="22"/>
                      <w:szCs w:val="22"/>
                    </w:rPr>
                    <w:t>S CA MCA</w:t>
                  </w:r>
                </w:p>
              </w:tc>
              <w:tc>
                <w:tcPr>
                  <w:tcW w:w="2545" w:type="dxa"/>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Arial" w:hAnsi="Arial" w:cs="Arial"/>
                      <w:color w:val="FFFFFF"/>
                      <w:sz w:val="22"/>
                      <w:szCs w:val="22"/>
                    </w:rPr>
                    <w:t>California</w:t>
                  </w:r>
                </w:p>
              </w:tc>
            </w:tr>
            <w:tr w:rsidR="009446CC" w:rsidRPr="009446CC" w:rsidTr="004652D6">
              <w:trPr>
                <w:trHeight w:val="286"/>
              </w:trPr>
              <w:tc>
                <w:tcPr>
                  <w:tcW w:w="2545" w:type="dxa"/>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color w:val="FF0000"/>
                      <w:sz w:val="22"/>
                      <w:szCs w:val="22"/>
                    </w:rPr>
                    <w:t>18.8%</w:t>
                  </w:r>
                </w:p>
              </w:tc>
              <w:tc>
                <w:tcPr>
                  <w:tcW w:w="2545" w:type="dxa"/>
                  <w:tcBorders>
                    <w:right w:val="single" w:sz="4" w:space="0" w:color="auto"/>
                  </w:tcBorders>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18.5%</w:t>
                  </w:r>
                </w:p>
              </w:tc>
              <w:tc>
                <w:tcPr>
                  <w:tcW w:w="2545" w:type="dxa"/>
                  <w:tcBorders>
                    <w:left w:val="single" w:sz="4" w:space="0" w:color="auto"/>
                  </w:tcBorders>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17.0%</w:t>
                  </w:r>
                </w:p>
              </w:tc>
              <w:tc>
                <w:tcPr>
                  <w:tcW w:w="2545" w:type="dxa"/>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16.6%</w:t>
                  </w:r>
                </w:p>
              </w:tc>
            </w:tr>
          </w:tbl>
          <w:p w:rsidR="009446CC" w:rsidRPr="009446CC" w:rsidRDefault="009446CC" w:rsidP="009446CC">
            <w:pPr>
              <w:spacing w:after="120" w:line="240" w:lineRule="auto"/>
              <w:rPr>
                <w:rFonts w:ascii="Arial" w:eastAsia="Arial" w:hAnsi="Arial" w:cs="Arial"/>
                <w:i/>
                <w:iCs/>
                <w:color w:val="737373"/>
                <w:sz w:val="18"/>
                <w:szCs w:val="18"/>
              </w:rPr>
            </w:pPr>
            <w:r w:rsidRPr="009446CC">
              <w:rPr>
                <w:rFonts w:ascii="Arial" w:eastAsia="Arial" w:hAnsi="Arial" w:cs="Arial"/>
                <w:i/>
                <w:iCs/>
                <w:color w:val="737373"/>
                <w:sz w:val="18"/>
                <w:szCs w:val="18"/>
              </w:rPr>
              <w:t xml:space="preserve">Source: Centers for Disease Control and Prevention, </w:t>
            </w:r>
            <w:hyperlink r:id="rId54" w:tgtFrame="_blank" w:history="1">
              <w:r w:rsidRPr="009446CC">
                <w:rPr>
                  <w:rFonts w:ascii="Arial" w:eastAsia="Arial" w:hAnsi="Arial" w:cs="Arial"/>
                  <w:i/>
                  <w:iCs/>
                  <w:color w:val="737373"/>
                  <w:sz w:val="18"/>
                  <w:szCs w:val="18"/>
                </w:rPr>
                <w:t>National Center for Chronic Disease Prevention and Health Promotion</w:t>
              </w:r>
            </w:hyperlink>
            <w:r w:rsidRPr="009446CC">
              <w:rPr>
                <w:rFonts w:ascii="Arial" w:eastAsia="Arial" w:hAnsi="Arial" w:cs="Arial"/>
                <w:i/>
                <w:iCs/>
                <w:color w:val="737373"/>
                <w:sz w:val="18"/>
                <w:szCs w:val="18"/>
              </w:rPr>
              <w:t>. 2012.</w:t>
            </w:r>
          </w:p>
          <w:p w:rsidR="009446CC" w:rsidRPr="009446CC" w:rsidRDefault="009446CC" w:rsidP="009446CC">
            <w:pPr>
              <w:spacing w:after="200" w:line="240" w:lineRule="auto"/>
              <w:ind w:left="50"/>
              <w:rPr>
                <w:rFonts w:ascii="Arial" w:eastAsia="Arial" w:hAnsi="Arial" w:cs="Arial"/>
                <w:color w:val="075290"/>
                <w:sz w:val="22"/>
                <w:szCs w:val="22"/>
                <w:u w:val="single"/>
              </w:rPr>
            </w:pPr>
            <w:r w:rsidRPr="009446CC">
              <w:rPr>
                <w:rFonts w:ascii="Arial" w:eastAsia="Arial" w:hAnsi="Arial" w:cs="Arial"/>
                <w:b/>
                <w:color w:val="000000"/>
                <w:sz w:val="22"/>
                <w:szCs w:val="22"/>
              </w:rPr>
              <w:t xml:space="preserve">Walking, Biking, and Skating to School. </w:t>
            </w:r>
            <w:r w:rsidRPr="009446CC">
              <w:rPr>
                <w:rFonts w:ascii="Arial" w:eastAsia="Arial" w:hAnsi="Arial" w:cs="Arial"/>
                <w:color w:val="000000"/>
                <w:sz w:val="22"/>
                <w:szCs w:val="22"/>
              </w:rPr>
              <w:t>This indicator reports the percentage of children and teens who reported that they walked, biked, or skated to school in the past week (at the time of the interview). This indicator is relevant because an active commute to school is associated with improvements in physical activity levels and obesity prevention among youth. Active transportation is also a climate change mitigation strategy. A lower percentage of children and teens in the KFH-Fontana/Ontario Medical Center Service Areas engaged in active transport to school compared to the state</w:t>
            </w:r>
            <w:r w:rsidRPr="009446CC">
              <w:rPr>
                <w:rFonts w:ascii="Arial" w:eastAsia="Arial" w:hAnsi="Arial" w:cs="Arial"/>
                <w:color w:val="075290"/>
                <w:sz w:val="22"/>
                <w:szCs w:val="22"/>
                <w:u w:val="single"/>
              </w:rPr>
              <w:t>.</w:t>
            </w:r>
          </w:p>
          <w:p w:rsidR="009446CC" w:rsidRPr="009446CC" w:rsidRDefault="009446CC" w:rsidP="009446CC">
            <w:pPr>
              <w:spacing w:after="120" w:line="240" w:lineRule="auto"/>
              <w:jc w:val="center"/>
              <w:rPr>
                <w:rFonts w:ascii="Arial" w:eastAsia="Arial" w:hAnsi="Arial" w:cs="Arial"/>
                <w:b/>
                <w:color w:val="000000"/>
                <w:sz w:val="22"/>
                <w:szCs w:val="22"/>
              </w:rPr>
            </w:pPr>
            <w:r w:rsidRPr="009446CC">
              <w:rPr>
                <w:rFonts w:ascii="Arial" w:eastAsia="Arial" w:hAnsi="Arial" w:cs="Arial"/>
                <w:b/>
                <w:color w:val="000000"/>
                <w:sz w:val="22"/>
                <w:szCs w:val="22"/>
              </w:rPr>
              <w:t>Children and Teens who Walked, Biked or Skated to School</w:t>
            </w:r>
          </w:p>
          <w:tbl>
            <w:tblPr>
              <w:tblW w:w="10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18"/>
              <w:gridCol w:w="2518"/>
              <w:gridCol w:w="2518"/>
              <w:gridCol w:w="2518"/>
            </w:tblGrid>
            <w:tr w:rsidR="009446CC" w:rsidRPr="009446CC" w:rsidTr="00221501">
              <w:trPr>
                <w:trHeight w:val="279"/>
              </w:trPr>
              <w:tc>
                <w:tcPr>
                  <w:tcW w:w="2518" w:type="dxa"/>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Arial" w:hAnsi="Arial" w:cs="Arial"/>
                      <w:color w:val="FFFFFF"/>
                      <w:sz w:val="22"/>
                      <w:szCs w:val="22"/>
                    </w:rPr>
                    <w:t>KFH-Fontana MCSA</w:t>
                  </w:r>
                </w:p>
              </w:tc>
              <w:tc>
                <w:tcPr>
                  <w:tcW w:w="2518" w:type="dxa"/>
                  <w:tcBorders>
                    <w:right w:val="single" w:sz="4" w:space="0" w:color="auto"/>
                  </w:tcBorders>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FFFFFF"/>
                      <w:sz w:val="22"/>
                      <w:szCs w:val="22"/>
                    </w:rPr>
                  </w:pPr>
                  <w:r w:rsidRPr="009446CC">
                    <w:rPr>
                      <w:rFonts w:ascii="Arial" w:eastAsia="Arial" w:hAnsi="Arial" w:cs="Arial"/>
                      <w:color w:val="FFFFFF"/>
                      <w:sz w:val="22"/>
                      <w:szCs w:val="22"/>
                    </w:rPr>
                    <w:t>KFH-Ontario MCSA</w:t>
                  </w:r>
                </w:p>
              </w:tc>
              <w:tc>
                <w:tcPr>
                  <w:tcW w:w="2518" w:type="dxa"/>
                  <w:tcBorders>
                    <w:left w:val="single" w:sz="4" w:space="0" w:color="auto"/>
                  </w:tcBorders>
                  <w:shd w:val="clear" w:color="auto" w:fill="000000"/>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Calibri" w:hAnsi="Arial" w:cs="Arial"/>
                      <w:sz w:val="22"/>
                      <w:szCs w:val="22"/>
                    </w:rPr>
                    <w:t>S CA MCA</w:t>
                  </w:r>
                </w:p>
              </w:tc>
              <w:tc>
                <w:tcPr>
                  <w:tcW w:w="2518" w:type="dxa"/>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Arial" w:hAnsi="Arial" w:cs="Arial"/>
                      <w:color w:val="FFFFFF"/>
                      <w:sz w:val="22"/>
                      <w:szCs w:val="22"/>
                    </w:rPr>
                    <w:t>California</w:t>
                  </w:r>
                </w:p>
              </w:tc>
            </w:tr>
            <w:tr w:rsidR="009446CC" w:rsidRPr="009446CC" w:rsidTr="00221501">
              <w:trPr>
                <w:trHeight w:val="306"/>
              </w:trPr>
              <w:tc>
                <w:tcPr>
                  <w:tcW w:w="2518" w:type="dxa"/>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38.3%</w:t>
                  </w:r>
                </w:p>
              </w:tc>
              <w:tc>
                <w:tcPr>
                  <w:tcW w:w="2518" w:type="dxa"/>
                  <w:tcBorders>
                    <w:right w:val="single" w:sz="4" w:space="0" w:color="auto"/>
                  </w:tcBorders>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40.4%</w:t>
                  </w:r>
                </w:p>
              </w:tc>
              <w:tc>
                <w:tcPr>
                  <w:tcW w:w="2518" w:type="dxa"/>
                  <w:tcBorders>
                    <w:left w:val="single" w:sz="4" w:space="0" w:color="auto"/>
                  </w:tcBorders>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38.5%</w:t>
                  </w:r>
                </w:p>
              </w:tc>
              <w:tc>
                <w:tcPr>
                  <w:tcW w:w="2518" w:type="dxa"/>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44.5%</w:t>
                  </w:r>
                </w:p>
              </w:tc>
            </w:tr>
          </w:tbl>
          <w:p w:rsidR="009446CC" w:rsidRPr="009446CC" w:rsidRDefault="009446CC" w:rsidP="009446CC">
            <w:pPr>
              <w:spacing w:after="200" w:line="240" w:lineRule="auto"/>
              <w:ind w:left="50"/>
              <w:rPr>
                <w:rFonts w:ascii="Arial" w:eastAsia="Arial" w:hAnsi="Arial" w:cs="Arial"/>
                <w:color w:val="000000"/>
                <w:sz w:val="22"/>
                <w:szCs w:val="22"/>
              </w:rPr>
            </w:pPr>
            <w:r w:rsidRPr="009446CC">
              <w:rPr>
                <w:rFonts w:ascii="Arial" w:eastAsia="Arial" w:hAnsi="Arial" w:cs="Arial"/>
                <w:i/>
                <w:iCs/>
                <w:color w:val="737373"/>
                <w:sz w:val="18"/>
                <w:szCs w:val="18"/>
              </w:rPr>
              <w:t xml:space="preserve">Source: University of California Center for Health Policy Research, </w:t>
            </w:r>
            <w:hyperlink r:id="rId55" w:tgtFrame="_blank" w:history="1">
              <w:r w:rsidRPr="009446CC">
                <w:rPr>
                  <w:rFonts w:ascii="Arial" w:eastAsia="Arial" w:hAnsi="Arial" w:cs="Arial"/>
                  <w:i/>
                  <w:iCs/>
                  <w:color w:val="737373"/>
                  <w:sz w:val="18"/>
                  <w:szCs w:val="18"/>
                </w:rPr>
                <w:t>California Health Interview Survey</w:t>
              </w:r>
            </w:hyperlink>
            <w:r w:rsidRPr="009446CC">
              <w:rPr>
                <w:rFonts w:ascii="Arial" w:eastAsia="Arial" w:hAnsi="Arial" w:cs="Arial"/>
                <w:i/>
                <w:iCs/>
                <w:color w:val="737373"/>
                <w:sz w:val="18"/>
                <w:szCs w:val="18"/>
              </w:rPr>
              <w:t>. 2011-12</w:t>
            </w:r>
          </w:p>
        </w:tc>
      </w:tr>
      <w:tr w:rsidR="009446CC" w:rsidRPr="009446CC" w:rsidTr="00C542D4">
        <w:tblPrEx>
          <w:jc w:val="left"/>
        </w:tblPrEx>
        <w:trPr>
          <w:trHeight w:val="881"/>
        </w:trPr>
        <w:tc>
          <w:tcPr>
            <w:tcW w:w="2846" w:type="dxa"/>
            <w:gridSpan w:val="3"/>
            <w:tcMar>
              <w:top w:w="100" w:type="dxa"/>
              <w:left w:w="100" w:type="dxa"/>
              <w:bottom w:w="100" w:type="dxa"/>
              <w:right w:w="100" w:type="dxa"/>
            </w:tcMar>
          </w:tcPr>
          <w:p w:rsidR="009446CC" w:rsidRPr="009446CC" w:rsidRDefault="009446CC" w:rsidP="009446CC">
            <w:pPr>
              <w:spacing w:after="200" w:line="240" w:lineRule="auto"/>
              <w:rPr>
                <w:rFonts w:ascii="Arial" w:eastAsia="Arial" w:hAnsi="Arial" w:cs="Arial"/>
                <w:b/>
                <w:color w:val="000000"/>
                <w:sz w:val="22"/>
                <w:szCs w:val="22"/>
              </w:rPr>
            </w:pPr>
            <w:r w:rsidRPr="009446CC">
              <w:rPr>
                <w:rFonts w:ascii="Arial" w:eastAsia="Arial" w:hAnsi="Arial" w:cs="Arial"/>
                <w:noProof/>
                <w:color w:val="000000"/>
                <w:sz w:val="22"/>
                <w:szCs w:val="22"/>
              </w:rPr>
              <w:drawing>
                <wp:inline distT="114300" distB="114300" distL="114300" distR="114300" wp14:anchorId="2AAC9FE1" wp14:editId="3B7E3628">
                  <wp:extent cx="644055" cy="588396"/>
                  <wp:effectExtent l="0" t="0" r="3810" b="2540"/>
                  <wp:docPr id="12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9"/>
                          <a:srcRect/>
                          <a:stretch>
                            <a:fillRect/>
                          </a:stretch>
                        </pic:blipFill>
                        <pic:spPr>
                          <a:xfrm>
                            <a:off x="0" y="0"/>
                            <a:ext cx="640157" cy="584835"/>
                          </a:xfrm>
                          <a:prstGeom prst="rect">
                            <a:avLst/>
                          </a:prstGeom>
                          <a:ln/>
                        </pic:spPr>
                      </pic:pic>
                    </a:graphicData>
                  </a:graphic>
                </wp:inline>
              </w:drawing>
            </w:r>
          </w:p>
        </w:tc>
        <w:tc>
          <w:tcPr>
            <w:tcW w:w="7334" w:type="dxa"/>
            <w:gridSpan w:val="2"/>
            <w:vAlign w:val="center"/>
          </w:tcPr>
          <w:p w:rsidR="009446CC" w:rsidRPr="009446CC" w:rsidRDefault="009446CC" w:rsidP="009446CC">
            <w:pPr>
              <w:spacing w:after="120" w:line="240" w:lineRule="auto"/>
              <w:ind w:left="35"/>
              <w:rPr>
                <w:rFonts w:ascii="Arial" w:eastAsia="Arial" w:hAnsi="Arial" w:cs="Arial"/>
                <w:b/>
                <w:color w:val="000000"/>
                <w:sz w:val="22"/>
                <w:szCs w:val="22"/>
              </w:rPr>
            </w:pPr>
            <w:r w:rsidRPr="009446CC">
              <w:rPr>
                <w:rFonts w:ascii="Arial" w:eastAsia="Arial" w:hAnsi="Arial" w:cs="Arial"/>
                <w:b/>
                <w:color w:val="000000"/>
                <w:sz w:val="28"/>
                <w:szCs w:val="28"/>
              </w:rPr>
              <w:t>Physical Environment</w:t>
            </w:r>
          </w:p>
        </w:tc>
      </w:tr>
      <w:tr w:rsidR="009446CC" w:rsidRPr="009446CC" w:rsidTr="00C542D4">
        <w:tblPrEx>
          <w:jc w:val="left"/>
        </w:tblPrEx>
        <w:trPr>
          <w:trHeight w:val="6856"/>
        </w:trPr>
        <w:tc>
          <w:tcPr>
            <w:tcW w:w="10180" w:type="dxa"/>
            <w:gridSpan w:val="5"/>
            <w:tcMar>
              <w:top w:w="100" w:type="dxa"/>
              <w:left w:w="100" w:type="dxa"/>
              <w:bottom w:w="100" w:type="dxa"/>
              <w:right w:w="100" w:type="dxa"/>
            </w:tcMar>
          </w:tcPr>
          <w:p w:rsidR="009446CC" w:rsidRPr="009446CC" w:rsidRDefault="009446CC" w:rsidP="009446CC">
            <w:pPr>
              <w:spacing w:after="200" w:line="240" w:lineRule="auto"/>
              <w:ind w:left="50"/>
              <w:rPr>
                <w:rFonts w:ascii="Arial" w:eastAsia="Arial" w:hAnsi="Arial" w:cs="Arial"/>
                <w:color w:val="075290"/>
                <w:sz w:val="22"/>
                <w:szCs w:val="22"/>
                <w:u w:val="single"/>
              </w:rPr>
            </w:pPr>
            <w:r w:rsidRPr="009446CC">
              <w:rPr>
                <w:rFonts w:ascii="Arial" w:eastAsia="Arial" w:hAnsi="Arial" w:cs="Arial"/>
                <w:b/>
                <w:color w:val="000000"/>
                <w:sz w:val="22"/>
                <w:szCs w:val="22"/>
              </w:rPr>
              <w:t xml:space="preserve">Food Environment – Fast Food Restaurants. </w:t>
            </w:r>
            <w:r w:rsidRPr="009446CC">
              <w:rPr>
                <w:rFonts w:ascii="Arial" w:eastAsia="Arial" w:hAnsi="Arial" w:cs="Arial"/>
                <w:color w:val="000000"/>
                <w:sz w:val="22"/>
                <w:szCs w:val="22"/>
              </w:rPr>
              <w:t>This indicator reports the number of fast food restaurants per 100,000 population. Fast food restaurants are defined as limited-service establishments primarily engaged in providing food services (except snack and nonalcoholic beverage bars) where patrons generally order or select items and pay before eating. This indicator is relevant because it provides a measure of healthy food access and environmental influences on dietary behaviors. KFH-Ontario Medical Center Service Area has a higher rate of fast food restaurants per 100,000 population than KFH-Fontana Medical Center Service Area, the S CA MCA and state.</w:t>
            </w:r>
          </w:p>
          <w:p w:rsidR="009446CC" w:rsidRPr="009446CC" w:rsidRDefault="009446CC" w:rsidP="009446CC">
            <w:pPr>
              <w:spacing w:after="120" w:line="240" w:lineRule="auto"/>
              <w:jc w:val="center"/>
              <w:rPr>
                <w:rFonts w:ascii="Arial" w:eastAsia="Arial" w:hAnsi="Arial" w:cs="Arial"/>
                <w:b/>
                <w:color w:val="000000"/>
                <w:sz w:val="22"/>
                <w:szCs w:val="22"/>
              </w:rPr>
            </w:pPr>
            <w:r w:rsidRPr="009446CC">
              <w:rPr>
                <w:rFonts w:ascii="Arial" w:eastAsia="Arial" w:hAnsi="Arial" w:cs="Arial"/>
                <w:b/>
                <w:color w:val="000000"/>
                <w:sz w:val="22"/>
                <w:szCs w:val="22"/>
              </w:rPr>
              <w:t>Fast Food Establishment Rate per 100,000 Population</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45"/>
              <w:gridCol w:w="2545"/>
              <w:gridCol w:w="2545"/>
              <w:gridCol w:w="2545"/>
            </w:tblGrid>
            <w:tr w:rsidR="009446CC" w:rsidRPr="009446CC" w:rsidTr="004652D6">
              <w:trPr>
                <w:trHeight w:val="261"/>
              </w:trPr>
              <w:tc>
                <w:tcPr>
                  <w:tcW w:w="2545" w:type="dxa"/>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Arial" w:hAnsi="Arial" w:cs="Arial"/>
                      <w:color w:val="FFFFFF"/>
                      <w:sz w:val="22"/>
                      <w:szCs w:val="22"/>
                    </w:rPr>
                    <w:t>KFH-Fontana MCSA</w:t>
                  </w:r>
                </w:p>
              </w:tc>
              <w:tc>
                <w:tcPr>
                  <w:tcW w:w="2545" w:type="dxa"/>
                  <w:tcBorders>
                    <w:right w:val="single" w:sz="4" w:space="0" w:color="auto"/>
                  </w:tcBorders>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FFFFFF"/>
                      <w:sz w:val="22"/>
                      <w:szCs w:val="22"/>
                    </w:rPr>
                  </w:pPr>
                  <w:r w:rsidRPr="009446CC">
                    <w:rPr>
                      <w:rFonts w:ascii="Arial" w:eastAsia="Arial" w:hAnsi="Arial" w:cs="Arial"/>
                      <w:color w:val="FFFFFF"/>
                      <w:sz w:val="22"/>
                      <w:szCs w:val="22"/>
                    </w:rPr>
                    <w:t>KFH-Ontario MCSA</w:t>
                  </w:r>
                </w:p>
              </w:tc>
              <w:tc>
                <w:tcPr>
                  <w:tcW w:w="2545" w:type="dxa"/>
                  <w:tcBorders>
                    <w:left w:val="single" w:sz="4" w:space="0" w:color="auto"/>
                  </w:tcBorders>
                  <w:shd w:val="clear" w:color="auto" w:fill="000000"/>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Calibri" w:hAnsi="Arial" w:cs="Arial"/>
                      <w:sz w:val="22"/>
                      <w:szCs w:val="22"/>
                    </w:rPr>
                    <w:t>S CA MCA</w:t>
                  </w:r>
                </w:p>
              </w:tc>
              <w:tc>
                <w:tcPr>
                  <w:tcW w:w="2545" w:type="dxa"/>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Arial" w:hAnsi="Arial" w:cs="Arial"/>
                      <w:color w:val="FFFFFF"/>
                      <w:sz w:val="22"/>
                      <w:szCs w:val="22"/>
                    </w:rPr>
                    <w:t>California</w:t>
                  </w:r>
                </w:p>
              </w:tc>
            </w:tr>
            <w:tr w:rsidR="009446CC" w:rsidRPr="009446CC" w:rsidTr="004652D6">
              <w:trPr>
                <w:trHeight w:val="286"/>
              </w:trPr>
              <w:tc>
                <w:tcPr>
                  <w:tcW w:w="2545" w:type="dxa"/>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62.0</w:t>
                  </w:r>
                </w:p>
              </w:tc>
              <w:tc>
                <w:tcPr>
                  <w:tcW w:w="2545" w:type="dxa"/>
                  <w:tcBorders>
                    <w:right w:val="single" w:sz="4" w:space="0" w:color="auto"/>
                  </w:tcBorders>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83.1</w:t>
                  </w:r>
                </w:p>
              </w:tc>
              <w:tc>
                <w:tcPr>
                  <w:tcW w:w="2545" w:type="dxa"/>
                  <w:tcBorders>
                    <w:left w:val="single" w:sz="4" w:space="0" w:color="auto"/>
                  </w:tcBorders>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77.4</w:t>
                  </w:r>
                </w:p>
              </w:tc>
              <w:tc>
                <w:tcPr>
                  <w:tcW w:w="2545" w:type="dxa"/>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74.5</w:t>
                  </w:r>
                </w:p>
              </w:tc>
            </w:tr>
          </w:tbl>
          <w:p w:rsidR="009446CC" w:rsidRPr="009446CC" w:rsidRDefault="009446CC" w:rsidP="009446CC">
            <w:pPr>
              <w:spacing w:after="120" w:line="240" w:lineRule="auto"/>
              <w:rPr>
                <w:rFonts w:ascii="Arial" w:eastAsia="Arial" w:hAnsi="Arial" w:cs="Arial"/>
                <w:i/>
                <w:color w:val="737373"/>
                <w:sz w:val="20"/>
                <w:szCs w:val="20"/>
              </w:rPr>
            </w:pPr>
          </w:p>
          <w:p w:rsidR="009446CC" w:rsidRPr="009446CC" w:rsidRDefault="009446CC" w:rsidP="009446CC">
            <w:pPr>
              <w:spacing w:after="120" w:line="240" w:lineRule="auto"/>
              <w:rPr>
                <w:rFonts w:ascii="Arial" w:eastAsia="Arial" w:hAnsi="Arial" w:cs="Arial"/>
                <w:i/>
                <w:iCs/>
                <w:color w:val="737373"/>
                <w:sz w:val="18"/>
                <w:szCs w:val="18"/>
              </w:rPr>
            </w:pPr>
            <w:r w:rsidRPr="009446CC">
              <w:rPr>
                <w:rFonts w:ascii="Arial" w:eastAsia="Arial" w:hAnsi="Arial" w:cs="Arial"/>
                <w:i/>
                <w:iCs/>
                <w:color w:val="737373"/>
                <w:sz w:val="18"/>
                <w:szCs w:val="18"/>
              </w:rPr>
              <w:t xml:space="preserve">Source: US Census Bureau, </w:t>
            </w:r>
            <w:hyperlink r:id="rId56" w:tgtFrame="_blank" w:history="1">
              <w:r w:rsidRPr="009446CC">
                <w:rPr>
                  <w:rFonts w:ascii="Arial" w:eastAsia="Arial" w:hAnsi="Arial" w:cs="Arial"/>
                  <w:i/>
                  <w:iCs/>
                  <w:color w:val="737373"/>
                  <w:sz w:val="18"/>
                  <w:szCs w:val="18"/>
                </w:rPr>
                <w:t>County Business Patterns</w:t>
              </w:r>
            </w:hyperlink>
            <w:r w:rsidRPr="009446CC">
              <w:rPr>
                <w:rFonts w:ascii="Arial" w:eastAsia="Arial" w:hAnsi="Arial" w:cs="Arial"/>
                <w:i/>
                <w:iCs/>
                <w:color w:val="737373"/>
                <w:sz w:val="18"/>
                <w:szCs w:val="18"/>
              </w:rPr>
              <w:t xml:space="preserve">. Additional data analysis by </w:t>
            </w:r>
            <w:hyperlink r:id="rId57" w:tgtFrame="_blank" w:history="1">
              <w:r w:rsidRPr="009446CC">
                <w:rPr>
                  <w:rFonts w:ascii="Arial" w:eastAsia="Arial" w:hAnsi="Arial" w:cs="Arial"/>
                  <w:i/>
                  <w:iCs/>
                  <w:color w:val="737373"/>
                  <w:sz w:val="18"/>
                  <w:szCs w:val="18"/>
                </w:rPr>
                <w:t>CARES</w:t>
              </w:r>
            </w:hyperlink>
            <w:r w:rsidRPr="009446CC">
              <w:rPr>
                <w:rFonts w:ascii="Arial" w:eastAsia="Arial" w:hAnsi="Arial" w:cs="Arial"/>
                <w:i/>
                <w:iCs/>
                <w:color w:val="737373"/>
                <w:sz w:val="18"/>
                <w:szCs w:val="18"/>
              </w:rPr>
              <w:t xml:space="preserve">. 2011. </w:t>
            </w:r>
          </w:p>
          <w:p w:rsidR="009446CC" w:rsidRPr="009446CC" w:rsidRDefault="009446CC" w:rsidP="009446CC">
            <w:pPr>
              <w:spacing w:after="200" w:line="240" w:lineRule="auto"/>
              <w:ind w:left="50"/>
              <w:rPr>
                <w:rFonts w:ascii="Arial" w:eastAsia="Arial" w:hAnsi="Arial" w:cs="Arial"/>
                <w:color w:val="075290"/>
                <w:sz w:val="22"/>
                <w:szCs w:val="22"/>
                <w:u w:val="single"/>
              </w:rPr>
            </w:pPr>
            <w:r w:rsidRPr="009446CC">
              <w:rPr>
                <w:rFonts w:ascii="Arial" w:eastAsia="Arial" w:hAnsi="Arial" w:cs="Arial"/>
                <w:b/>
                <w:color w:val="000000"/>
                <w:sz w:val="22"/>
                <w:szCs w:val="22"/>
              </w:rPr>
              <w:t xml:space="preserve">Park Access. </w:t>
            </w:r>
            <w:r w:rsidRPr="009446CC">
              <w:rPr>
                <w:rFonts w:ascii="Arial" w:eastAsia="Arial" w:hAnsi="Arial" w:cs="Arial"/>
                <w:color w:val="000000"/>
                <w:sz w:val="22"/>
                <w:szCs w:val="22"/>
              </w:rPr>
              <w:t>This indicator reports the percentage of population living within 1/2 mile of a park. This indicator is relevant because access to outdoor recreation encourages physical activity and other healthy behaviors. KFH-Fontana Medical Center Service Area has a lower percentage of the population with a park in walking distance compared to KFH-Ontario Medical Center Service Area, the S CA MCA and state.</w:t>
            </w:r>
          </w:p>
          <w:p w:rsidR="009446CC" w:rsidRPr="009446CC" w:rsidRDefault="009446CC" w:rsidP="009446CC">
            <w:pPr>
              <w:spacing w:after="120" w:line="240" w:lineRule="auto"/>
              <w:jc w:val="center"/>
              <w:rPr>
                <w:rFonts w:ascii="Arial" w:eastAsia="Arial" w:hAnsi="Arial" w:cs="Arial"/>
                <w:b/>
                <w:color w:val="000000"/>
                <w:sz w:val="22"/>
                <w:szCs w:val="22"/>
              </w:rPr>
            </w:pPr>
            <w:r w:rsidRPr="009446CC">
              <w:rPr>
                <w:rFonts w:ascii="Arial" w:eastAsia="Arial" w:hAnsi="Arial" w:cs="Arial"/>
                <w:b/>
                <w:color w:val="000000"/>
                <w:sz w:val="22"/>
                <w:szCs w:val="22"/>
              </w:rPr>
              <w:t>Percent Population Within 1/2 Mile of a Park (Age-Adjusted)</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45"/>
              <w:gridCol w:w="2545"/>
              <w:gridCol w:w="2545"/>
              <w:gridCol w:w="2545"/>
            </w:tblGrid>
            <w:tr w:rsidR="009446CC" w:rsidRPr="009446CC" w:rsidTr="004652D6">
              <w:trPr>
                <w:trHeight w:val="261"/>
              </w:trPr>
              <w:tc>
                <w:tcPr>
                  <w:tcW w:w="2545" w:type="dxa"/>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Arial" w:hAnsi="Arial" w:cs="Arial"/>
                      <w:color w:val="FFFFFF"/>
                      <w:sz w:val="22"/>
                      <w:szCs w:val="22"/>
                    </w:rPr>
                    <w:t>KFH-Fontana MCSA</w:t>
                  </w:r>
                </w:p>
              </w:tc>
              <w:tc>
                <w:tcPr>
                  <w:tcW w:w="2545" w:type="dxa"/>
                  <w:tcBorders>
                    <w:right w:val="single" w:sz="4" w:space="0" w:color="auto"/>
                  </w:tcBorders>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FFFFFF"/>
                      <w:sz w:val="22"/>
                      <w:szCs w:val="22"/>
                    </w:rPr>
                  </w:pPr>
                  <w:r w:rsidRPr="009446CC">
                    <w:rPr>
                      <w:rFonts w:ascii="Arial" w:eastAsia="Arial" w:hAnsi="Arial" w:cs="Arial"/>
                      <w:color w:val="FFFFFF"/>
                      <w:sz w:val="22"/>
                      <w:szCs w:val="22"/>
                    </w:rPr>
                    <w:t>KFH-Ontario MCSA</w:t>
                  </w:r>
                </w:p>
              </w:tc>
              <w:tc>
                <w:tcPr>
                  <w:tcW w:w="2545" w:type="dxa"/>
                  <w:tcBorders>
                    <w:left w:val="single" w:sz="4" w:space="0" w:color="auto"/>
                  </w:tcBorders>
                  <w:shd w:val="clear" w:color="auto" w:fill="000000"/>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Calibri" w:hAnsi="Arial" w:cs="Arial"/>
                      <w:sz w:val="22"/>
                      <w:szCs w:val="22"/>
                    </w:rPr>
                    <w:t>S CA MCA</w:t>
                  </w:r>
                </w:p>
              </w:tc>
              <w:tc>
                <w:tcPr>
                  <w:tcW w:w="2545" w:type="dxa"/>
                  <w:shd w:val="clear" w:color="auto" w:fill="000000"/>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color w:val="000000"/>
                      <w:sz w:val="22"/>
                      <w:szCs w:val="22"/>
                    </w:rPr>
                  </w:pPr>
                  <w:r w:rsidRPr="009446CC">
                    <w:rPr>
                      <w:rFonts w:ascii="Arial" w:eastAsia="Arial" w:hAnsi="Arial" w:cs="Arial"/>
                      <w:color w:val="FFFFFF"/>
                      <w:sz w:val="22"/>
                      <w:szCs w:val="22"/>
                    </w:rPr>
                    <w:t>California</w:t>
                  </w:r>
                </w:p>
              </w:tc>
            </w:tr>
            <w:tr w:rsidR="009446CC" w:rsidRPr="009446CC" w:rsidTr="004652D6">
              <w:trPr>
                <w:trHeight w:val="286"/>
              </w:trPr>
              <w:tc>
                <w:tcPr>
                  <w:tcW w:w="2545" w:type="dxa"/>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40.8%</w:t>
                  </w:r>
                </w:p>
              </w:tc>
              <w:tc>
                <w:tcPr>
                  <w:tcW w:w="2545" w:type="dxa"/>
                  <w:tcBorders>
                    <w:right w:val="single" w:sz="4" w:space="0" w:color="auto"/>
                  </w:tcBorders>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66.9%</w:t>
                  </w:r>
                </w:p>
              </w:tc>
              <w:tc>
                <w:tcPr>
                  <w:tcW w:w="2545" w:type="dxa"/>
                  <w:tcBorders>
                    <w:left w:val="single" w:sz="4" w:space="0" w:color="auto"/>
                  </w:tcBorders>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61.3%</w:t>
                  </w:r>
                </w:p>
              </w:tc>
              <w:tc>
                <w:tcPr>
                  <w:tcW w:w="2545" w:type="dxa"/>
                  <w:tcMar>
                    <w:top w:w="28" w:type="dxa"/>
                    <w:left w:w="28" w:type="dxa"/>
                    <w:bottom w:w="28" w:type="dxa"/>
                    <w:right w:w="28" w:type="dxa"/>
                  </w:tcMar>
                </w:tcPr>
                <w:p w:rsidR="009446CC" w:rsidRPr="009446CC" w:rsidRDefault="009446CC" w:rsidP="009446CC">
                  <w:pPr>
                    <w:spacing w:after="120" w:line="240" w:lineRule="auto"/>
                    <w:jc w:val="center"/>
                    <w:rPr>
                      <w:rFonts w:ascii="Arial" w:eastAsia="Arial" w:hAnsi="Arial" w:cs="Arial"/>
                      <w:sz w:val="22"/>
                      <w:szCs w:val="22"/>
                    </w:rPr>
                  </w:pPr>
                  <w:r w:rsidRPr="009446CC">
                    <w:rPr>
                      <w:rFonts w:ascii="Arial" w:eastAsia="Arial" w:hAnsi="Arial" w:cs="Arial"/>
                      <w:sz w:val="22"/>
                      <w:szCs w:val="22"/>
                    </w:rPr>
                    <w:t>58.6%</w:t>
                  </w:r>
                </w:p>
              </w:tc>
            </w:tr>
          </w:tbl>
          <w:p w:rsidR="00F03B4A" w:rsidRDefault="009446CC" w:rsidP="009446CC">
            <w:pPr>
              <w:spacing w:after="120" w:line="240" w:lineRule="auto"/>
              <w:rPr>
                <w:rFonts w:ascii="Arial" w:eastAsia="Arial" w:hAnsi="Arial" w:cs="Arial"/>
                <w:i/>
                <w:iCs/>
                <w:color w:val="737373"/>
                <w:sz w:val="18"/>
                <w:szCs w:val="18"/>
              </w:rPr>
            </w:pPr>
            <w:r w:rsidRPr="009446CC">
              <w:rPr>
                <w:rFonts w:ascii="Arial" w:eastAsia="Arial" w:hAnsi="Arial" w:cs="Arial"/>
                <w:i/>
                <w:color w:val="737373"/>
                <w:sz w:val="18"/>
                <w:szCs w:val="18"/>
              </w:rPr>
              <w:t xml:space="preserve">Source: </w:t>
            </w:r>
            <w:r w:rsidRPr="009446CC">
              <w:rPr>
                <w:rFonts w:ascii="Arial" w:eastAsia="Arial" w:hAnsi="Arial" w:cs="Arial"/>
                <w:i/>
                <w:iCs/>
                <w:color w:val="737373"/>
                <w:sz w:val="18"/>
                <w:szCs w:val="18"/>
              </w:rPr>
              <w:t xml:space="preserve">US Census Bureau, Decennial Census. ESRI Map Gallery. 2010. </w:t>
            </w:r>
          </w:p>
          <w:p w:rsidR="00747421" w:rsidRDefault="00747421" w:rsidP="009446CC">
            <w:pPr>
              <w:spacing w:after="120" w:line="240" w:lineRule="auto"/>
              <w:rPr>
                <w:rFonts w:ascii="Arial" w:eastAsia="Arial" w:hAnsi="Arial" w:cs="Arial"/>
                <w:i/>
                <w:iCs/>
                <w:color w:val="737373"/>
                <w:sz w:val="18"/>
                <w:szCs w:val="18"/>
              </w:rPr>
            </w:pPr>
          </w:p>
          <w:p w:rsidR="00747421" w:rsidRDefault="00747421" w:rsidP="009446CC">
            <w:pPr>
              <w:spacing w:after="120" w:line="240" w:lineRule="auto"/>
              <w:rPr>
                <w:rFonts w:ascii="Arial" w:eastAsia="Arial" w:hAnsi="Arial" w:cs="Arial"/>
                <w:i/>
                <w:iCs/>
                <w:color w:val="737373"/>
                <w:sz w:val="18"/>
                <w:szCs w:val="18"/>
              </w:rPr>
            </w:pPr>
          </w:p>
          <w:p w:rsidR="00747421" w:rsidRDefault="00747421" w:rsidP="009446CC">
            <w:pPr>
              <w:spacing w:after="120" w:line="240" w:lineRule="auto"/>
              <w:rPr>
                <w:rFonts w:ascii="Arial" w:eastAsia="Arial" w:hAnsi="Arial" w:cs="Arial"/>
                <w:i/>
                <w:iCs/>
                <w:color w:val="737373"/>
                <w:sz w:val="18"/>
                <w:szCs w:val="18"/>
              </w:rPr>
            </w:pPr>
          </w:p>
          <w:p w:rsidR="00747421" w:rsidRDefault="00747421" w:rsidP="009446CC">
            <w:pPr>
              <w:spacing w:after="120" w:line="240" w:lineRule="auto"/>
              <w:rPr>
                <w:rFonts w:ascii="Arial" w:eastAsia="Arial" w:hAnsi="Arial" w:cs="Arial"/>
                <w:i/>
                <w:iCs/>
                <w:color w:val="737373"/>
                <w:sz w:val="18"/>
                <w:szCs w:val="18"/>
              </w:rPr>
            </w:pPr>
          </w:p>
          <w:p w:rsidR="00747421" w:rsidRDefault="00747421" w:rsidP="009446CC">
            <w:pPr>
              <w:spacing w:after="120" w:line="240" w:lineRule="auto"/>
              <w:rPr>
                <w:rFonts w:ascii="Arial" w:eastAsia="Arial" w:hAnsi="Arial" w:cs="Arial"/>
                <w:i/>
                <w:iCs/>
                <w:color w:val="737373"/>
                <w:sz w:val="18"/>
                <w:szCs w:val="18"/>
              </w:rPr>
            </w:pPr>
          </w:p>
          <w:p w:rsidR="00747421" w:rsidRDefault="00747421" w:rsidP="009446CC">
            <w:pPr>
              <w:spacing w:after="120" w:line="240" w:lineRule="auto"/>
              <w:rPr>
                <w:rFonts w:ascii="Arial" w:eastAsia="Arial" w:hAnsi="Arial" w:cs="Arial"/>
                <w:i/>
                <w:iCs/>
                <w:color w:val="737373"/>
                <w:sz w:val="18"/>
                <w:szCs w:val="18"/>
              </w:rPr>
            </w:pPr>
          </w:p>
          <w:p w:rsidR="00747421" w:rsidRDefault="00747421" w:rsidP="009446CC">
            <w:pPr>
              <w:spacing w:after="120" w:line="240" w:lineRule="auto"/>
              <w:rPr>
                <w:rFonts w:ascii="Arial" w:eastAsia="Arial" w:hAnsi="Arial" w:cs="Arial"/>
                <w:i/>
                <w:iCs/>
                <w:color w:val="737373"/>
                <w:sz w:val="18"/>
                <w:szCs w:val="18"/>
              </w:rPr>
            </w:pPr>
          </w:p>
          <w:p w:rsidR="00747421" w:rsidRDefault="00747421" w:rsidP="009446CC">
            <w:pPr>
              <w:spacing w:after="120" w:line="240" w:lineRule="auto"/>
              <w:rPr>
                <w:rFonts w:ascii="Arial" w:eastAsia="Arial" w:hAnsi="Arial" w:cs="Arial"/>
                <w:i/>
                <w:iCs/>
                <w:color w:val="737373"/>
                <w:sz w:val="18"/>
                <w:szCs w:val="18"/>
              </w:rPr>
            </w:pPr>
          </w:p>
          <w:p w:rsidR="00747421" w:rsidRDefault="00747421" w:rsidP="009446CC">
            <w:pPr>
              <w:spacing w:after="120" w:line="240" w:lineRule="auto"/>
              <w:rPr>
                <w:rFonts w:ascii="Arial" w:eastAsia="Arial" w:hAnsi="Arial" w:cs="Arial"/>
                <w:i/>
                <w:iCs/>
                <w:color w:val="737373"/>
                <w:sz w:val="18"/>
                <w:szCs w:val="18"/>
              </w:rPr>
            </w:pPr>
          </w:p>
          <w:p w:rsidR="00747421" w:rsidRDefault="00747421" w:rsidP="009446CC">
            <w:pPr>
              <w:spacing w:after="120" w:line="240" w:lineRule="auto"/>
              <w:rPr>
                <w:rFonts w:ascii="Arial" w:eastAsia="Arial" w:hAnsi="Arial" w:cs="Arial"/>
                <w:i/>
                <w:iCs/>
                <w:color w:val="737373"/>
                <w:sz w:val="18"/>
                <w:szCs w:val="18"/>
              </w:rPr>
            </w:pPr>
          </w:p>
          <w:p w:rsidR="00747421" w:rsidRDefault="00747421" w:rsidP="009446CC">
            <w:pPr>
              <w:spacing w:after="120" w:line="240" w:lineRule="auto"/>
              <w:rPr>
                <w:rFonts w:ascii="Arial" w:eastAsia="Arial" w:hAnsi="Arial" w:cs="Arial"/>
                <w:i/>
                <w:iCs/>
                <w:color w:val="737373"/>
                <w:sz w:val="18"/>
                <w:szCs w:val="18"/>
              </w:rPr>
            </w:pPr>
          </w:p>
          <w:p w:rsidR="00747421" w:rsidRPr="009446CC" w:rsidRDefault="00747421" w:rsidP="009446CC">
            <w:pPr>
              <w:spacing w:after="120" w:line="240" w:lineRule="auto"/>
              <w:rPr>
                <w:rFonts w:ascii="Arial" w:eastAsia="Arial" w:hAnsi="Arial" w:cs="Arial"/>
                <w:i/>
                <w:iCs/>
                <w:color w:val="737373"/>
                <w:sz w:val="18"/>
                <w:szCs w:val="18"/>
              </w:rPr>
            </w:pPr>
          </w:p>
        </w:tc>
      </w:tr>
      <w:tr w:rsidR="001C16CE" w:rsidRPr="009446CC" w:rsidTr="00C542D4">
        <w:tblPrEx>
          <w:jc w:val="left"/>
        </w:tblPrEx>
        <w:trPr>
          <w:trHeight w:val="556"/>
        </w:trPr>
        <w:tc>
          <w:tcPr>
            <w:tcW w:w="10180" w:type="dxa"/>
            <w:gridSpan w:val="5"/>
            <w:shd w:val="clear" w:color="auto" w:fill="006D9D"/>
            <w:tcMar>
              <w:top w:w="100" w:type="dxa"/>
              <w:left w:w="100" w:type="dxa"/>
              <w:bottom w:w="100" w:type="dxa"/>
              <w:right w:w="100" w:type="dxa"/>
            </w:tcMar>
          </w:tcPr>
          <w:p w:rsidR="001C16CE" w:rsidRPr="009446CC" w:rsidRDefault="001C16CE" w:rsidP="009446CC">
            <w:pPr>
              <w:spacing w:after="200" w:line="240" w:lineRule="auto"/>
              <w:ind w:left="50"/>
              <w:rPr>
                <w:rFonts w:ascii="Arial" w:eastAsia="Arial" w:hAnsi="Arial" w:cs="Arial"/>
                <w:b/>
                <w:color w:val="000000"/>
                <w:sz w:val="22"/>
                <w:szCs w:val="22"/>
              </w:rPr>
            </w:pPr>
            <w:r w:rsidRPr="009446CC">
              <w:rPr>
                <w:rFonts w:ascii="Arial" w:eastAsia="Arial" w:hAnsi="Arial" w:cs="Arial"/>
                <w:b/>
                <w:color w:val="FFFFFF"/>
                <w:sz w:val="32"/>
                <w:szCs w:val="32"/>
              </w:rPr>
              <w:t>Assets and Opportunities</w:t>
            </w:r>
          </w:p>
        </w:tc>
      </w:tr>
      <w:tr w:rsidR="001C16CE" w:rsidRPr="009446CC" w:rsidTr="00C542D4">
        <w:tblPrEx>
          <w:jc w:val="left"/>
        </w:tblPrEx>
        <w:trPr>
          <w:trHeight w:val="4030"/>
        </w:trPr>
        <w:tc>
          <w:tcPr>
            <w:tcW w:w="10180" w:type="dxa"/>
            <w:gridSpan w:val="5"/>
            <w:tcMar>
              <w:top w:w="100" w:type="dxa"/>
              <w:left w:w="100" w:type="dxa"/>
              <w:bottom w:w="100" w:type="dxa"/>
              <w:right w:w="100" w:type="dxa"/>
            </w:tcMar>
          </w:tcPr>
          <w:p w:rsidR="001C16CE" w:rsidRPr="009446CC" w:rsidRDefault="001C16CE" w:rsidP="001C16CE">
            <w:pPr>
              <w:spacing w:after="120" w:line="240" w:lineRule="auto"/>
              <w:rPr>
                <w:rFonts w:ascii="Arial" w:eastAsia="Arial" w:hAnsi="Arial" w:cs="Arial"/>
                <w:b/>
                <w:color w:val="000000"/>
                <w:sz w:val="22"/>
                <w:szCs w:val="22"/>
              </w:rPr>
            </w:pPr>
            <w:r w:rsidRPr="009446CC">
              <w:rPr>
                <w:rFonts w:ascii="Arial" w:eastAsia="Arial" w:hAnsi="Arial" w:cs="Arial"/>
                <w:b/>
                <w:noProof/>
                <w:color w:val="000000"/>
                <w:sz w:val="22"/>
                <w:szCs w:val="22"/>
              </w:rPr>
              <w:drawing>
                <wp:anchor distT="0" distB="0" distL="114300" distR="114300" simplePos="0" relativeHeight="251671552" behindDoc="0" locked="0" layoutInCell="1" allowOverlap="1" wp14:anchorId="35A2CAF4" wp14:editId="4150B028">
                  <wp:simplePos x="0" y="0"/>
                  <wp:positionH relativeFrom="column">
                    <wp:posOffset>48895</wp:posOffset>
                  </wp:positionH>
                  <wp:positionV relativeFrom="paragraph">
                    <wp:posOffset>38735</wp:posOffset>
                  </wp:positionV>
                  <wp:extent cx="541655" cy="541655"/>
                  <wp:effectExtent l="0" t="0" r="0" b="0"/>
                  <wp:wrapSquare wrapText="bothSides"/>
                  <wp:docPr id="12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541655" cy="541655"/>
                          </a:xfrm>
                          <a:prstGeom prst="rect">
                            <a:avLst/>
                          </a:prstGeom>
                          <a:ln/>
                        </pic:spPr>
                      </pic:pic>
                    </a:graphicData>
                  </a:graphic>
                  <wp14:sizeRelH relativeFrom="page">
                    <wp14:pctWidth>0</wp14:pctWidth>
                  </wp14:sizeRelH>
                  <wp14:sizeRelV relativeFrom="page">
                    <wp14:pctHeight>0</wp14:pctHeight>
                  </wp14:sizeRelV>
                </wp:anchor>
              </w:drawing>
            </w:r>
            <w:r w:rsidRPr="009446CC">
              <w:rPr>
                <w:rFonts w:ascii="Arial" w:eastAsia="Arial" w:hAnsi="Arial" w:cs="Arial"/>
                <w:b/>
                <w:color w:val="000000"/>
                <w:sz w:val="22"/>
                <w:szCs w:val="22"/>
              </w:rPr>
              <w:t>Community Description of the Health Need</w:t>
            </w:r>
          </w:p>
          <w:p w:rsidR="001C16CE" w:rsidRPr="009446CC" w:rsidRDefault="001C16CE" w:rsidP="001C16CE">
            <w:pPr>
              <w:widowControl/>
              <w:spacing w:after="0" w:line="240" w:lineRule="auto"/>
              <w:ind w:left="720"/>
              <w:contextualSpacing/>
              <w:rPr>
                <w:rFonts w:ascii="Arial" w:eastAsia="Times New Roman" w:hAnsi="Arial" w:cs="Arial"/>
                <w:sz w:val="22"/>
                <w:szCs w:val="22"/>
              </w:rPr>
            </w:pPr>
            <w:r w:rsidRPr="009446CC">
              <w:rPr>
                <w:rFonts w:ascii="Arial" w:eastAsia="Times New Roman" w:hAnsi="Arial" w:cs="Arial"/>
                <w:sz w:val="22"/>
                <w:szCs w:val="22"/>
              </w:rPr>
              <w:t>Obesity is on the rise among both children and adults primarily to poor diets and lack of physical activity. The prevalence of fast food restaurants which offer low-cost food to families trying to stretch their budgets makes it an attractive choice. Poor lifestyle choices lead to obesity and diabetes. Parents need access to healthy food and strategies and education about to stretch their budgets to include more healthy food. Children need safe places to play so they can get the physical activity they need.</w:t>
            </w:r>
          </w:p>
          <w:p w:rsidR="001C16CE" w:rsidRPr="009446CC" w:rsidRDefault="001C16CE" w:rsidP="001C16CE">
            <w:pPr>
              <w:widowControl/>
              <w:spacing w:after="0" w:line="240" w:lineRule="auto"/>
              <w:ind w:left="720"/>
              <w:contextualSpacing/>
              <w:rPr>
                <w:rFonts w:ascii="Arial" w:eastAsia="Times New Roman" w:hAnsi="Arial" w:cs="Arial"/>
                <w:sz w:val="22"/>
                <w:szCs w:val="22"/>
              </w:rPr>
            </w:pPr>
          </w:p>
          <w:p w:rsidR="001C16CE" w:rsidRPr="009446CC" w:rsidRDefault="001C16CE" w:rsidP="001C16CE">
            <w:pPr>
              <w:widowControl/>
              <w:numPr>
                <w:ilvl w:val="0"/>
                <w:numId w:val="42"/>
              </w:numPr>
              <w:spacing w:after="0" w:line="240" w:lineRule="auto"/>
              <w:contextualSpacing/>
              <w:rPr>
                <w:rFonts w:ascii="Arial" w:eastAsia="Times New Roman" w:hAnsi="Arial" w:cs="Arial"/>
                <w:sz w:val="22"/>
                <w:szCs w:val="22"/>
              </w:rPr>
            </w:pPr>
            <w:r w:rsidRPr="009446CC">
              <w:rPr>
                <w:rFonts w:ascii="Arial" w:eastAsia="Times New Roman" w:hAnsi="Arial" w:cs="Arial"/>
                <w:sz w:val="22"/>
                <w:szCs w:val="22"/>
              </w:rPr>
              <w:t>“I think it’s been really clear that diabetes is a health issue that is on the rise and is something that is going to require some very critical thinking and maybe even an introduction of some policies.” ~Interviewee</w:t>
            </w:r>
          </w:p>
          <w:p w:rsidR="001C16CE" w:rsidRPr="009446CC" w:rsidRDefault="001C16CE" w:rsidP="001C16CE">
            <w:pPr>
              <w:widowControl/>
              <w:numPr>
                <w:ilvl w:val="0"/>
                <w:numId w:val="42"/>
              </w:numPr>
              <w:spacing w:after="0" w:line="240" w:lineRule="auto"/>
              <w:contextualSpacing/>
              <w:rPr>
                <w:rFonts w:ascii="Arial" w:eastAsia="Times New Roman" w:hAnsi="Arial" w:cs="Arial"/>
                <w:sz w:val="22"/>
                <w:szCs w:val="22"/>
              </w:rPr>
            </w:pPr>
            <w:r w:rsidRPr="009446CC">
              <w:rPr>
                <w:rFonts w:ascii="Arial" w:eastAsia="Times New Roman" w:hAnsi="Arial" w:cs="Arial"/>
                <w:sz w:val="22"/>
                <w:szCs w:val="22"/>
              </w:rPr>
              <w:t>“The car-centricity and lack of walkability throughout the community—you look at the communities that are real walkable, you have better health.” ~Interviewee</w:t>
            </w:r>
          </w:p>
          <w:p w:rsidR="001C16CE" w:rsidRPr="009446CC" w:rsidRDefault="001C16CE" w:rsidP="001C16CE">
            <w:pPr>
              <w:spacing w:after="200" w:line="240" w:lineRule="auto"/>
              <w:ind w:left="50"/>
              <w:rPr>
                <w:rFonts w:ascii="Arial" w:eastAsia="Arial" w:hAnsi="Arial" w:cs="Arial"/>
                <w:b/>
                <w:color w:val="000000"/>
                <w:sz w:val="22"/>
                <w:szCs w:val="22"/>
              </w:rPr>
            </w:pPr>
            <w:r w:rsidRPr="009446CC">
              <w:rPr>
                <w:rFonts w:ascii="Arial" w:eastAsia="Times New Roman" w:hAnsi="Arial" w:cs="Arial"/>
                <w:sz w:val="22"/>
                <w:szCs w:val="22"/>
              </w:rPr>
              <w:t>“There is need to encourage people to maybe cook at home once in a while. Encouraging people to cook at home, that would help them cut down on junk.” ~Interviewee</w:t>
            </w:r>
          </w:p>
        </w:tc>
      </w:tr>
      <w:tr w:rsidR="00932BB6" w:rsidRPr="009446CC" w:rsidTr="00C542D4">
        <w:tblPrEx>
          <w:jc w:val="left"/>
        </w:tblPrEx>
        <w:trPr>
          <w:trHeight w:val="2482"/>
        </w:trPr>
        <w:tc>
          <w:tcPr>
            <w:tcW w:w="10180" w:type="dxa"/>
            <w:gridSpan w:val="5"/>
            <w:tcMar>
              <w:top w:w="100" w:type="dxa"/>
              <w:left w:w="100" w:type="dxa"/>
              <w:bottom w:w="100" w:type="dxa"/>
              <w:right w:w="100" w:type="dxa"/>
            </w:tcMar>
          </w:tcPr>
          <w:p w:rsidR="00932BB6" w:rsidRPr="009446CC" w:rsidRDefault="00932BB6" w:rsidP="00932BB6">
            <w:pPr>
              <w:spacing w:after="0" w:line="240" w:lineRule="auto"/>
              <w:rPr>
                <w:rFonts w:ascii="Arial" w:eastAsia="Arial" w:hAnsi="Arial" w:cs="Arial"/>
                <w:b/>
                <w:color w:val="000000"/>
                <w:sz w:val="22"/>
                <w:szCs w:val="22"/>
              </w:rPr>
            </w:pPr>
            <w:r w:rsidRPr="009446CC">
              <w:rPr>
                <w:rFonts w:ascii="Arial" w:eastAsia="Arial" w:hAnsi="Arial" w:cs="Arial"/>
                <w:b/>
                <w:color w:val="000000"/>
                <w:sz w:val="22"/>
                <w:szCs w:val="22"/>
              </w:rPr>
              <w:t>Resources</w:t>
            </w:r>
          </w:p>
          <w:p w:rsidR="00F03B4A" w:rsidRDefault="00932BB6" w:rsidP="001C16CE">
            <w:pPr>
              <w:spacing w:after="120" w:line="240" w:lineRule="auto"/>
              <w:rPr>
                <w:rFonts w:ascii="Arial" w:eastAsia="Arial" w:hAnsi="Arial" w:cs="Arial"/>
                <w:color w:val="000000"/>
                <w:sz w:val="22"/>
                <w:szCs w:val="22"/>
              </w:rPr>
            </w:pPr>
            <w:r w:rsidRPr="009446CC">
              <w:rPr>
                <w:rFonts w:ascii="Arial" w:eastAsia="Arial" w:hAnsi="Arial" w:cs="Arial"/>
                <w:color w:val="000000"/>
                <w:sz w:val="22"/>
                <w:szCs w:val="22"/>
              </w:rPr>
              <w:t>Community stakeholders identified the following organization, programs, and initiatives as important resources for potentially addressing health needs related to obesity, HEAL, and diabetes:</w:t>
            </w:r>
          </w:p>
          <w:tbl>
            <w:tblPr>
              <w:tblStyle w:val="TableGrid"/>
              <w:tblW w:w="0" w:type="auto"/>
              <w:tblLook w:val="04A0" w:firstRow="1" w:lastRow="0" w:firstColumn="1" w:lastColumn="0" w:noHBand="0" w:noVBand="1"/>
            </w:tblPr>
            <w:tblGrid>
              <w:gridCol w:w="4982"/>
              <w:gridCol w:w="4983"/>
            </w:tblGrid>
            <w:tr w:rsidR="00F03B4A" w:rsidTr="00F03B4A">
              <w:tc>
                <w:tcPr>
                  <w:tcW w:w="4982" w:type="dxa"/>
                </w:tcPr>
                <w:p w:rsidR="00F03B4A" w:rsidRPr="00DD3844" w:rsidRDefault="00F03B4A" w:rsidP="00F03B4A">
                  <w:pPr>
                    <w:pStyle w:val="ListParagraph"/>
                    <w:numPr>
                      <w:ilvl w:val="0"/>
                      <w:numId w:val="43"/>
                    </w:numPr>
                    <w:spacing w:after="0" w:line="240" w:lineRule="auto"/>
                    <w:rPr>
                      <w:rFonts w:ascii="Arial" w:eastAsia="Arial" w:hAnsi="Arial" w:cs="Arial"/>
                      <w:noProof/>
                      <w:color w:val="000000"/>
                      <w:sz w:val="22"/>
                      <w:szCs w:val="22"/>
                    </w:rPr>
                  </w:pPr>
                  <w:r w:rsidRPr="00DD3844">
                    <w:rPr>
                      <w:rFonts w:ascii="Arial" w:eastAsia="Arial" w:hAnsi="Arial" w:cs="Arial"/>
                      <w:noProof/>
                      <w:color w:val="000000"/>
                      <w:sz w:val="22"/>
                      <w:szCs w:val="22"/>
                    </w:rPr>
                    <w:t>Cal Fresh/SNAP</w:t>
                  </w:r>
                </w:p>
                <w:p w:rsidR="00F03B4A" w:rsidRPr="00DD3844" w:rsidRDefault="00F03B4A" w:rsidP="00F03B4A">
                  <w:pPr>
                    <w:pStyle w:val="ListParagraph"/>
                    <w:numPr>
                      <w:ilvl w:val="0"/>
                      <w:numId w:val="43"/>
                    </w:numPr>
                    <w:spacing w:after="0" w:line="240" w:lineRule="auto"/>
                    <w:rPr>
                      <w:rFonts w:ascii="Arial" w:eastAsia="Arial" w:hAnsi="Arial" w:cs="Arial"/>
                      <w:noProof/>
                      <w:color w:val="000000"/>
                      <w:sz w:val="22"/>
                      <w:szCs w:val="22"/>
                    </w:rPr>
                  </w:pPr>
                  <w:r w:rsidRPr="00DD3844">
                    <w:rPr>
                      <w:rFonts w:ascii="Arial" w:eastAsia="Arial" w:hAnsi="Arial" w:cs="Arial"/>
                      <w:noProof/>
                      <w:color w:val="000000"/>
                      <w:sz w:val="22"/>
                      <w:szCs w:val="22"/>
                    </w:rPr>
                    <w:t>Community Gardens</w:t>
                  </w:r>
                </w:p>
                <w:p w:rsidR="00F03B4A" w:rsidRPr="00DD3844" w:rsidRDefault="00F03B4A" w:rsidP="00F03B4A">
                  <w:pPr>
                    <w:pStyle w:val="ListParagraph"/>
                    <w:numPr>
                      <w:ilvl w:val="0"/>
                      <w:numId w:val="43"/>
                    </w:numPr>
                    <w:spacing w:after="0" w:line="240" w:lineRule="auto"/>
                    <w:rPr>
                      <w:rFonts w:ascii="Arial" w:eastAsia="Arial" w:hAnsi="Arial" w:cs="Arial"/>
                      <w:noProof/>
                      <w:color w:val="000000"/>
                      <w:sz w:val="22"/>
                      <w:szCs w:val="22"/>
                    </w:rPr>
                  </w:pPr>
                  <w:r w:rsidRPr="00DD3844">
                    <w:rPr>
                      <w:rFonts w:ascii="Arial" w:eastAsia="Arial" w:hAnsi="Arial" w:cs="Arial"/>
                      <w:noProof/>
                      <w:color w:val="000000"/>
                      <w:sz w:val="22"/>
                      <w:szCs w:val="22"/>
                    </w:rPr>
                    <w:t>Community Supported Agriculture (CSA)</w:t>
                  </w:r>
                </w:p>
                <w:p w:rsidR="00F03B4A" w:rsidRPr="00DD3844" w:rsidRDefault="00F03B4A" w:rsidP="00F03B4A">
                  <w:pPr>
                    <w:pStyle w:val="ListParagraph"/>
                    <w:numPr>
                      <w:ilvl w:val="0"/>
                      <w:numId w:val="43"/>
                    </w:numPr>
                    <w:spacing w:after="0" w:line="240" w:lineRule="auto"/>
                    <w:rPr>
                      <w:rFonts w:ascii="Arial" w:eastAsia="Arial" w:hAnsi="Arial" w:cs="Arial"/>
                      <w:noProof/>
                      <w:color w:val="000000"/>
                      <w:sz w:val="22"/>
                      <w:szCs w:val="22"/>
                    </w:rPr>
                  </w:pPr>
                  <w:r w:rsidRPr="00DD3844">
                    <w:rPr>
                      <w:rFonts w:ascii="Arial" w:eastAsia="Arial" w:hAnsi="Arial" w:cs="Arial"/>
                      <w:noProof/>
                      <w:color w:val="000000"/>
                      <w:sz w:val="22"/>
                      <w:szCs w:val="22"/>
                    </w:rPr>
                    <w:t>El Sol Neighborhood Educational Center</w:t>
                  </w:r>
                </w:p>
                <w:p w:rsidR="00F03B4A" w:rsidRPr="00DD3844" w:rsidRDefault="00F03B4A" w:rsidP="00F03B4A">
                  <w:pPr>
                    <w:pStyle w:val="ListParagraph"/>
                    <w:numPr>
                      <w:ilvl w:val="0"/>
                      <w:numId w:val="43"/>
                    </w:numPr>
                    <w:spacing w:after="0" w:line="240" w:lineRule="auto"/>
                    <w:rPr>
                      <w:rFonts w:ascii="Arial" w:eastAsia="Arial" w:hAnsi="Arial" w:cs="Arial"/>
                      <w:noProof/>
                      <w:color w:val="000000"/>
                      <w:sz w:val="22"/>
                      <w:szCs w:val="22"/>
                    </w:rPr>
                  </w:pPr>
                  <w:r w:rsidRPr="00DD3844">
                    <w:rPr>
                      <w:rFonts w:ascii="Arial" w:eastAsia="Arial" w:hAnsi="Arial" w:cs="Arial"/>
                      <w:noProof/>
                      <w:color w:val="000000"/>
                      <w:sz w:val="22"/>
                      <w:szCs w:val="22"/>
                    </w:rPr>
                    <w:t>Employee wellness programs</w:t>
                  </w:r>
                </w:p>
                <w:p w:rsidR="00F03B4A" w:rsidRPr="00DD3844" w:rsidRDefault="00F03B4A" w:rsidP="00F03B4A">
                  <w:pPr>
                    <w:pStyle w:val="ListParagraph"/>
                    <w:numPr>
                      <w:ilvl w:val="0"/>
                      <w:numId w:val="43"/>
                    </w:numPr>
                    <w:spacing w:after="0" w:line="240" w:lineRule="auto"/>
                    <w:rPr>
                      <w:rFonts w:ascii="Arial" w:eastAsia="Arial" w:hAnsi="Arial" w:cs="Arial"/>
                      <w:noProof/>
                      <w:color w:val="000000"/>
                      <w:sz w:val="22"/>
                      <w:szCs w:val="22"/>
                    </w:rPr>
                  </w:pPr>
                  <w:r w:rsidRPr="00DD3844">
                    <w:rPr>
                      <w:rFonts w:ascii="Arial" w:eastAsia="Arial" w:hAnsi="Arial" w:cs="Arial"/>
                      <w:noProof/>
                      <w:color w:val="000000"/>
                      <w:sz w:val="22"/>
                      <w:szCs w:val="22"/>
                    </w:rPr>
                    <w:t>Farmers’ Markets</w:t>
                  </w:r>
                </w:p>
                <w:p w:rsidR="00F03B4A" w:rsidRPr="00DD3844" w:rsidRDefault="00F03B4A" w:rsidP="00F03B4A">
                  <w:pPr>
                    <w:pStyle w:val="ListParagraph"/>
                    <w:numPr>
                      <w:ilvl w:val="0"/>
                      <w:numId w:val="43"/>
                    </w:numPr>
                    <w:spacing w:after="0" w:line="240" w:lineRule="auto"/>
                    <w:rPr>
                      <w:rFonts w:ascii="Arial" w:eastAsia="Arial" w:hAnsi="Arial" w:cs="Arial"/>
                      <w:noProof/>
                      <w:color w:val="000000"/>
                      <w:sz w:val="22"/>
                      <w:szCs w:val="22"/>
                    </w:rPr>
                  </w:pPr>
                  <w:r w:rsidRPr="00DD3844">
                    <w:rPr>
                      <w:rFonts w:ascii="Arial" w:eastAsia="Arial" w:hAnsi="Arial" w:cs="Arial"/>
                      <w:noProof/>
                      <w:color w:val="000000"/>
                      <w:sz w:val="22"/>
                      <w:szCs w:val="22"/>
                    </w:rPr>
                    <w:t>Healthy Cities and Communities</w:t>
                  </w:r>
                </w:p>
                <w:p w:rsidR="00F03B4A" w:rsidRDefault="00F03B4A" w:rsidP="001C16CE">
                  <w:pPr>
                    <w:spacing w:after="120" w:line="240" w:lineRule="auto"/>
                    <w:rPr>
                      <w:rFonts w:ascii="Arial" w:eastAsia="Arial" w:hAnsi="Arial" w:cs="Arial"/>
                      <w:color w:val="000000"/>
                      <w:sz w:val="22"/>
                      <w:szCs w:val="22"/>
                    </w:rPr>
                  </w:pPr>
                </w:p>
              </w:tc>
              <w:tc>
                <w:tcPr>
                  <w:tcW w:w="4983" w:type="dxa"/>
                </w:tcPr>
                <w:p w:rsidR="00F03B4A" w:rsidRPr="00DD3844" w:rsidRDefault="00F03B4A" w:rsidP="00F03B4A">
                  <w:pPr>
                    <w:pStyle w:val="ListParagraph"/>
                    <w:numPr>
                      <w:ilvl w:val="0"/>
                      <w:numId w:val="43"/>
                    </w:numPr>
                    <w:spacing w:after="0" w:line="240" w:lineRule="auto"/>
                    <w:rPr>
                      <w:rFonts w:ascii="Arial" w:eastAsia="Arial" w:hAnsi="Arial" w:cs="Arial"/>
                      <w:noProof/>
                      <w:color w:val="000000"/>
                      <w:sz w:val="22"/>
                      <w:szCs w:val="22"/>
                    </w:rPr>
                  </w:pPr>
                  <w:r w:rsidRPr="00DD3844">
                    <w:rPr>
                      <w:rFonts w:ascii="Arial" w:eastAsia="Arial" w:hAnsi="Arial" w:cs="Arial"/>
                      <w:noProof/>
                      <w:color w:val="000000"/>
                      <w:sz w:val="22"/>
                      <w:szCs w:val="22"/>
                    </w:rPr>
                    <w:t>Pacific Electric Trail</w:t>
                  </w:r>
                </w:p>
                <w:p w:rsidR="00F03B4A" w:rsidRPr="00DD3844" w:rsidRDefault="00F03B4A" w:rsidP="00F03B4A">
                  <w:pPr>
                    <w:pStyle w:val="ListParagraph"/>
                    <w:numPr>
                      <w:ilvl w:val="0"/>
                      <w:numId w:val="43"/>
                    </w:numPr>
                    <w:spacing w:after="0" w:line="240" w:lineRule="auto"/>
                    <w:rPr>
                      <w:rFonts w:ascii="Arial" w:eastAsia="Arial" w:hAnsi="Arial" w:cs="Arial"/>
                      <w:noProof/>
                      <w:color w:val="000000"/>
                      <w:sz w:val="22"/>
                      <w:szCs w:val="22"/>
                    </w:rPr>
                  </w:pPr>
                  <w:r w:rsidRPr="00DD3844">
                    <w:rPr>
                      <w:rFonts w:ascii="Arial" w:eastAsia="Arial" w:hAnsi="Arial" w:cs="Arial"/>
                      <w:noProof/>
                      <w:color w:val="000000"/>
                      <w:sz w:val="22"/>
                      <w:szCs w:val="22"/>
                    </w:rPr>
                    <w:t>Parks and Recreation Departments</w:t>
                  </w:r>
                </w:p>
                <w:p w:rsidR="00F03B4A" w:rsidRPr="00DD3844" w:rsidRDefault="00F03B4A" w:rsidP="00F03B4A">
                  <w:pPr>
                    <w:pStyle w:val="ListParagraph"/>
                    <w:numPr>
                      <w:ilvl w:val="0"/>
                      <w:numId w:val="43"/>
                    </w:numPr>
                    <w:spacing w:after="0" w:line="240" w:lineRule="auto"/>
                    <w:rPr>
                      <w:rFonts w:ascii="Arial" w:eastAsia="Arial" w:hAnsi="Arial" w:cs="Arial"/>
                      <w:noProof/>
                      <w:color w:val="000000"/>
                      <w:sz w:val="22"/>
                      <w:szCs w:val="22"/>
                    </w:rPr>
                  </w:pPr>
                  <w:r w:rsidRPr="00DD3844">
                    <w:rPr>
                      <w:rFonts w:ascii="Arial" w:eastAsia="Arial" w:hAnsi="Arial" w:cs="Arial"/>
                      <w:noProof/>
                      <w:color w:val="000000"/>
                      <w:sz w:val="22"/>
                      <w:szCs w:val="22"/>
                    </w:rPr>
                    <w:t>Santa Ana River Trails</w:t>
                  </w:r>
                </w:p>
                <w:p w:rsidR="00F03B4A" w:rsidRDefault="00F03B4A" w:rsidP="00F03B4A">
                  <w:pPr>
                    <w:pStyle w:val="ListParagraph"/>
                    <w:numPr>
                      <w:ilvl w:val="0"/>
                      <w:numId w:val="43"/>
                    </w:numPr>
                    <w:spacing w:after="0" w:line="240" w:lineRule="auto"/>
                    <w:rPr>
                      <w:rFonts w:ascii="Arial" w:eastAsia="Arial" w:hAnsi="Arial" w:cs="Arial"/>
                      <w:noProof/>
                      <w:color w:val="000000"/>
                      <w:sz w:val="22"/>
                      <w:szCs w:val="22"/>
                    </w:rPr>
                  </w:pPr>
                  <w:r w:rsidRPr="00DD3844">
                    <w:rPr>
                      <w:rFonts w:ascii="Arial" w:eastAsia="Arial" w:hAnsi="Arial" w:cs="Arial"/>
                      <w:noProof/>
                      <w:color w:val="000000"/>
                      <w:sz w:val="22"/>
                      <w:szCs w:val="22"/>
                    </w:rPr>
                    <w:t>School nutrition programs</w:t>
                  </w:r>
                </w:p>
                <w:p w:rsidR="00F03B4A" w:rsidRPr="00F03B4A" w:rsidRDefault="00F03B4A" w:rsidP="00F03B4A">
                  <w:pPr>
                    <w:pStyle w:val="ListParagraph"/>
                    <w:numPr>
                      <w:ilvl w:val="0"/>
                      <w:numId w:val="43"/>
                    </w:numPr>
                    <w:spacing w:after="0" w:line="240" w:lineRule="auto"/>
                    <w:rPr>
                      <w:rFonts w:ascii="Arial" w:eastAsia="Arial" w:hAnsi="Arial" w:cs="Arial"/>
                      <w:noProof/>
                      <w:color w:val="000000"/>
                      <w:sz w:val="22"/>
                      <w:szCs w:val="22"/>
                    </w:rPr>
                  </w:pPr>
                  <w:r w:rsidRPr="00F03B4A">
                    <w:rPr>
                      <w:rFonts w:ascii="Arial" w:eastAsia="Arial" w:hAnsi="Arial" w:cs="Arial"/>
                      <w:noProof/>
                      <w:color w:val="000000"/>
                      <w:sz w:val="22"/>
                      <w:szCs w:val="22"/>
                    </w:rPr>
                    <w:t>YMCA</w:t>
                  </w:r>
                </w:p>
              </w:tc>
            </w:tr>
          </w:tbl>
          <w:p w:rsidR="003F5F3A" w:rsidRPr="00F03B4A" w:rsidRDefault="003F5F3A" w:rsidP="00F03B4A">
            <w:pPr>
              <w:spacing w:after="0" w:line="240" w:lineRule="auto"/>
              <w:rPr>
                <w:rFonts w:ascii="Arial" w:eastAsia="Arial" w:hAnsi="Arial" w:cs="Arial"/>
                <w:b/>
                <w:noProof/>
                <w:color w:val="000000"/>
                <w:sz w:val="22"/>
                <w:szCs w:val="22"/>
              </w:rPr>
            </w:pPr>
          </w:p>
        </w:tc>
      </w:tr>
      <w:tr w:rsidR="00932BB6" w:rsidRPr="009446CC" w:rsidTr="00C542D4">
        <w:tblPrEx>
          <w:jc w:val="left"/>
        </w:tblPrEx>
        <w:trPr>
          <w:trHeight w:val="1510"/>
        </w:trPr>
        <w:tc>
          <w:tcPr>
            <w:tcW w:w="10180" w:type="dxa"/>
            <w:gridSpan w:val="5"/>
            <w:tcMar>
              <w:top w:w="100" w:type="dxa"/>
              <w:left w:w="100" w:type="dxa"/>
              <w:bottom w:w="100" w:type="dxa"/>
              <w:right w:w="100" w:type="dxa"/>
            </w:tcMar>
          </w:tcPr>
          <w:p w:rsidR="00932BB6" w:rsidRPr="009446CC" w:rsidRDefault="00932BB6" w:rsidP="00932BB6">
            <w:pPr>
              <w:tabs>
                <w:tab w:val="left" w:pos="1656"/>
              </w:tabs>
              <w:spacing w:after="0" w:line="240" w:lineRule="auto"/>
              <w:rPr>
                <w:rFonts w:ascii="Arial" w:eastAsia="Arial" w:hAnsi="Arial" w:cs="Arial"/>
                <w:b/>
                <w:noProof/>
                <w:color w:val="000000"/>
                <w:sz w:val="22"/>
                <w:szCs w:val="22"/>
              </w:rPr>
            </w:pPr>
            <w:r w:rsidRPr="009446CC">
              <w:rPr>
                <w:rFonts w:ascii="Arial" w:eastAsia="Arial" w:hAnsi="Arial" w:cs="Arial"/>
                <w:b/>
                <w:noProof/>
                <w:color w:val="000000"/>
                <w:sz w:val="22"/>
                <w:szCs w:val="22"/>
              </w:rPr>
              <w:t>Policy, Planning, and Collaboration</w:t>
            </w:r>
          </w:p>
          <w:p w:rsidR="00932BB6" w:rsidRPr="009446CC" w:rsidRDefault="00932BB6" w:rsidP="00932BB6">
            <w:pPr>
              <w:tabs>
                <w:tab w:val="left" w:pos="1656"/>
              </w:tabs>
              <w:spacing w:after="0" w:line="240" w:lineRule="auto"/>
              <w:rPr>
                <w:rFonts w:ascii="Arial" w:eastAsia="Arial" w:hAnsi="Arial" w:cs="Arial"/>
                <w:b/>
                <w:noProof/>
                <w:color w:val="000000"/>
                <w:sz w:val="22"/>
                <w:szCs w:val="22"/>
              </w:rPr>
            </w:pPr>
          </w:p>
          <w:p w:rsidR="00932BB6" w:rsidRPr="009446CC" w:rsidRDefault="00932BB6" w:rsidP="00932BB6">
            <w:pPr>
              <w:tabs>
                <w:tab w:val="left" w:pos="1656"/>
              </w:tabs>
              <w:spacing w:after="0" w:line="240" w:lineRule="auto"/>
              <w:rPr>
                <w:rFonts w:ascii="Arial" w:eastAsia="Arial" w:hAnsi="Arial" w:cs="Arial"/>
                <w:noProof/>
                <w:color w:val="000000"/>
                <w:sz w:val="22"/>
                <w:szCs w:val="22"/>
              </w:rPr>
            </w:pPr>
            <w:r w:rsidRPr="009446CC">
              <w:rPr>
                <w:rFonts w:ascii="Arial" w:eastAsia="Arial" w:hAnsi="Arial" w:cs="Arial"/>
                <w:b/>
                <w:noProof/>
                <w:color w:val="000000"/>
                <w:sz w:val="22"/>
                <w:szCs w:val="22"/>
              </w:rPr>
              <w:t xml:space="preserve">Community Vital Signs: </w:t>
            </w:r>
            <w:r w:rsidRPr="009446CC">
              <w:rPr>
                <w:rFonts w:ascii="Arial" w:eastAsia="Arial" w:hAnsi="Arial" w:cs="Arial"/>
                <w:noProof/>
                <w:color w:val="000000"/>
                <w:sz w:val="22"/>
                <w:szCs w:val="22"/>
              </w:rPr>
              <w:t>This countywide collaborative is bringing together leaders from all sectors to take on issues of health outcomes and social determinants of health. Obesity, access to healthy food, and creating enviroments that support physical activity are all key strategies that are being addressed through this effort.</w:t>
            </w:r>
          </w:p>
          <w:p w:rsidR="00932BB6" w:rsidRPr="009446CC" w:rsidRDefault="00932BB6" w:rsidP="00932BB6">
            <w:pPr>
              <w:tabs>
                <w:tab w:val="left" w:pos="1656"/>
              </w:tabs>
              <w:spacing w:after="0" w:line="240" w:lineRule="auto"/>
              <w:rPr>
                <w:rFonts w:ascii="Arial" w:eastAsia="Arial" w:hAnsi="Arial" w:cs="Arial"/>
                <w:noProof/>
                <w:color w:val="000000"/>
                <w:sz w:val="22"/>
                <w:szCs w:val="22"/>
              </w:rPr>
            </w:pPr>
          </w:p>
          <w:p w:rsidR="00932BB6" w:rsidRPr="009446CC" w:rsidRDefault="00932BB6" w:rsidP="00932BB6">
            <w:pPr>
              <w:tabs>
                <w:tab w:val="left" w:pos="1656"/>
              </w:tabs>
              <w:spacing w:after="0" w:line="240" w:lineRule="auto"/>
              <w:rPr>
                <w:rFonts w:ascii="Arial" w:eastAsia="Arial" w:hAnsi="Arial" w:cs="Arial"/>
                <w:noProof/>
                <w:color w:val="000000"/>
                <w:sz w:val="22"/>
                <w:szCs w:val="22"/>
              </w:rPr>
            </w:pPr>
            <w:r w:rsidRPr="009446CC">
              <w:rPr>
                <w:rFonts w:ascii="Arial" w:eastAsia="Arial" w:hAnsi="Arial" w:cs="Arial"/>
                <w:b/>
                <w:noProof/>
                <w:color w:val="000000"/>
                <w:sz w:val="22"/>
                <w:szCs w:val="22"/>
              </w:rPr>
              <w:t>Healthy Cities and Communities:</w:t>
            </w:r>
            <w:r w:rsidRPr="009446CC">
              <w:rPr>
                <w:rFonts w:ascii="Arial" w:eastAsia="Arial" w:hAnsi="Arial" w:cs="Arial"/>
                <w:noProof/>
                <w:color w:val="000000"/>
                <w:sz w:val="22"/>
                <w:szCs w:val="22"/>
              </w:rPr>
              <w:t xml:space="preserve"> Nearly all communities and cities within the KFH-Fontana/Ontario Medical Center Service Areas are part of this initiative designed to improve health and wellness. Different communities use tailored approaches to improve health, including programs and services like Farmer’s Markets, walking clubs, health screenings and development of policy, such as healthy vending machines and lactation support.</w:t>
            </w:r>
          </w:p>
          <w:p w:rsidR="00F03B4A" w:rsidRDefault="00F03B4A" w:rsidP="00932BB6">
            <w:pPr>
              <w:spacing w:after="0" w:line="240" w:lineRule="auto"/>
              <w:rPr>
                <w:rFonts w:ascii="Arial" w:eastAsia="Arial" w:hAnsi="Arial" w:cs="Arial"/>
                <w:noProof/>
                <w:color w:val="000000"/>
                <w:sz w:val="22"/>
                <w:szCs w:val="22"/>
              </w:rPr>
            </w:pPr>
          </w:p>
          <w:p w:rsidR="00932BB6" w:rsidRPr="009446CC" w:rsidRDefault="00932BB6" w:rsidP="00932BB6">
            <w:pPr>
              <w:spacing w:after="0" w:line="240" w:lineRule="auto"/>
              <w:rPr>
                <w:rFonts w:ascii="Arial" w:eastAsia="Arial" w:hAnsi="Arial" w:cs="Arial"/>
                <w:b/>
                <w:color w:val="000000"/>
                <w:sz w:val="22"/>
                <w:szCs w:val="22"/>
              </w:rPr>
            </w:pPr>
            <w:r w:rsidRPr="009446CC">
              <w:rPr>
                <w:rFonts w:ascii="Arial" w:eastAsia="Arial" w:hAnsi="Arial" w:cs="Arial"/>
                <w:b/>
                <w:noProof/>
                <w:color w:val="000000"/>
                <w:sz w:val="22"/>
                <w:szCs w:val="22"/>
              </w:rPr>
              <w:t>Safe Routes to School:</w:t>
            </w:r>
            <w:r w:rsidRPr="009446CC">
              <w:rPr>
                <w:rFonts w:ascii="Arial" w:eastAsia="Arial" w:hAnsi="Arial" w:cs="Arial"/>
                <w:noProof/>
                <w:color w:val="000000"/>
                <w:sz w:val="22"/>
                <w:szCs w:val="22"/>
              </w:rPr>
              <w:t xml:space="preserve"> This nationally funded effort is dedicated to creating safe routes for children and parents to use active modes of transportation when traveling to and from school.</w:t>
            </w:r>
          </w:p>
        </w:tc>
      </w:tr>
      <w:tr w:rsidR="009446CC" w:rsidRPr="009446CC" w:rsidTr="00DD3844">
        <w:trPr>
          <w:trHeight w:val="216"/>
          <w:jc w:val="center"/>
        </w:trPr>
        <w:tc>
          <w:tcPr>
            <w:tcW w:w="8664" w:type="dxa"/>
            <w:gridSpan w:val="5"/>
            <w:shd w:val="clear" w:color="auto" w:fill="FFFFFF" w:themeFill="background1"/>
          </w:tcPr>
          <w:p w:rsidR="009446CC" w:rsidRPr="009446CC" w:rsidRDefault="009446CC" w:rsidP="009446CC">
            <w:pPr>
              <w:tabs>
                <w:tab w:val="left" w:pos="1656"/>
              </w:tabs>
              <w:spacing w:after="120" w:line="240" w:lineRule="auto"/>
              <w:rPr>
                <w:rFonts w:ascii="Arial" w:eastAsia="Arial" w:hAnsi="Arial" w:cs="Arial"/>
                <w:color w:val="1155CC"/>
                <w:sz w:val="22"/>
                <w:szCs w:val="22"/>
                <w:u w:val="single"/>
              </w:rPr>
            </w:pPr>
            <w:r w:rsidRPr="009446CC">
              <w:rPr>
                <w:rFonts w:ascii="Arial" w:eastAsia="Arial" w:hAnsi="Arial" w:cs="Arial"/>
                <w:color w:val="000000"/>
                <w:sz w:val="22"/>
                <w:szCs w:val="22"/>
              </w:rPr>
              <w:t xml:space="preserve">Icons from </w:t>
            </w:r>
            <w:hyperlink r:id="rId58">
              <w:r w:rsidRPr="009446CC">
                <w:rPr>
                  <w:rFonts w:ascii="Arial" w:eastAsia="Arial" w:hAnsi="Arial" w:cs="Arial"/>
                  <w:color w:val="1155CC"/>
                  <w:sz w:val="22"/>
                  <w:szCs w:val="22"/>
                  <w:u w:val="single"/>
                </w:rPr>
                <w:t>The Noun Project</w:t>
              </w:r>
            </w:hyperlink>
          </w:p>
        </w:tc>
      </w:tr>
    </w:tbl>
    <w:p w:rsidR="00A40EE0" w:rsidRPr="00B26DA4" w:rsidRDefault="00A40EE0" w:rsidP="00F03B4A">
      <w:pPr>
        <w:ind w:right="-3600"/>
        <w:rPr>
          <w:rFonts w:ascii="Arial" w:eastAsia="Arial" w:hAnsi="Arial" w:cs="Arial"/>
          <w:sz w:val="32"/>
          <w:szCs w:val="32"/>
        </w:rPr>
      </w:pPr>
    </w:p>
    <w:sectPr w:rsidR="00A40EE0" w:rsidRPr="00B26DA4" w:rsidSect="008940C2">
      <w:footerReference w:type="first" r:id="rId59"/>
      <w:pgSz w:w="12240" w:h="15840"/>
      <w:pgMar w:top="1440" w:right="1080" w:bottom="1440" w:left="1080" w:header="446"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8A4" w:rsidRDefault="007948A4" w:rsidP="00A47005">
      <w:r>
        <w:separator/>
      </w:r>
    </w:p>
    <w:p w:rsidR="007948A4" w:rsidRDefault="007948A4" w:rsidP="00A47005"/>
    <w:p w:rsidR="007948A4" w:rsidRDefault="007948A4"/>
  </w:endnote>
  <w:endnote w:type="continuationSeparator" w:id="0">
    <w:p w:rsidR="007948A4" w:rsidRDefault="007948A4" w:rsidP="00A47005">
      <w:r>
        <w:continuationSeparator/>
      </w:r>
    </w:p>
    <w:p w:rsidR="007948A4" w:rsidRDefault="007948A4" w:rsidP="00A47005"/>
    <w:p w:rsidR="007948A4" w:rsidRDefault="007948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8A4" w:rsidRPr="00A47005" w:rsidRDefault="007948A4" w:rsidP="00BC34C0">
    <w:pPr>
      <w:pStyle w:val="Footer"/>
      <w:pBdr>
        <w:top w:val="none" w:sz="0" w:space="0" w:color="auto"/>
        <w:between w:val="dotted" w:sz="4" w:space="1" w:color="000000" w:themeColor="text2"/>
      </w:pBdr>
      <w:tabs>
        <w:tab w:val="clear" w:pos="7020"/>
        <w:tab w:val="left" w:pos="270"/>
      </w:tabs>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8A4" w:rsidRDefault="007948A4" w:rsidP="00EA0F16">
      <w:pPr>
        <w:spacing w:after="0"/>
      </w:pPr>
      <w:r>
        <w:separator/>
      </w:r>
    </w:p>
  </w:footnote>
  <w:footnote w:type="continuationSeparator" w:id="0">
    <w:p w:rsidR="007948A4" w:rsidRDefault="007948A4" w:rsidP="00A47005">
      <w:r>
        <w:continuationSeparator/>
      </w:r>
    </w:p>
    <w:p w:rsidR="007948A4" w:rsidRDefault="007948A4" w:rsidP="00A47005"/>
    <w:p w:rsidR="007948A4" w:rsidRDefault="007948A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4A43F3E"/>
    <w:lvl w:ilvl="0">
      <w:start w:val="1"/>
      <w:numFmt w:val="decimal"/>
      <w:lvlText w:val="%1."/>
      <w:lvlJc w:val="left"/>
      <w:pPr>
        <w:tabs>
          <w:tab w:val="num" w:pos="1800"/>
        </w:tabs>
        <w:ind w:left="1800" w:hanging="360"/>
      </w:pPr>
    </w:lvl>
  </w:abstractNum>
  <w:abstractNum w:abstractNumId="1">
    <w:nsid w:val="FFFFFF7D"/>
    <w:multiLevelType w:val="singleLevel"/>
    <w:tmpl w:val="90F81632"/>
    <w:lvl w:ilvl="0">
      <w:start w:val="1"/>
      <w:numFmt w:val="decimal"/>
      <w:lvlText w:val="%1."/>
      <w:lvlJc w:val="left"/>
      <w:pPr>
        <w:tabs>
          <w:tab w:val="num" w:pos="1440"/>
        </w:tabs>
        <w:ind w:left="1440" w:hanging="360"/>
      </w:pPr>
    </w:lvl>
  </w:abstractNum>
  <w:abstractNum w:abstractNumId="2">
    <w:nsid w:val="FFFFFF7E"/>
    <w:multiLevelType w:val="singleLevel"/>
    <w:tmpl w:val="8CEE0F5C"/>
    <w:lvl w:ilvl="0">
      <w:start w:val="1"/>
      <w:numFmt w:val="decimal"/>
      <w:lvlText w:val="%1."/>
      <w:lvlJc w:val="left"/>
      <w:pPr>
        <w:tabs>
          <w:tab w:val="num" w:pos="1080"/>
        </w:tabs>
        <w:ind w:left="1080" w:hanging="360"/>
      </w:pPr>
    </w:lvl>
  </w:abstractNum>
  <w:abstractNum w:abstractNumId="3">
    <w:nsid w:val="FFFFFF7F"/>
    <w:multiLevelType w:val="singleLevel"/>
    <w:tmpl w:val="FBD6E804"/>
    <w:lvl w:ilvl="0">
      <w:start w:val="1"/>
      <w:numFmt w:val="decimal"/>
      <w:lvlText w:val="%1."/>
      <w:lvlJc w:val="left"/>
      <w:pPr>
        <w:tabs>
          <w:tab w:val="num" w:pos="720"/>
        </w:tabs>
        <w:ind w:left="720" w:hanging="360"/>
      </w:pPr>
    </w:lvl>
  </w:abstractNum>
  <w:abstractNum w:abstractNumId="4">
    <w:nsid w:val="FFFFFF80"/>
    <w:multiLevelType w:val="singleLevel"/>
    <w:tmpl w:val="0E0EA8D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FC41C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4BA11C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F8A14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EAC3B8"/>
    <w:lvl w:ilvl="0">
      <w:start w:val="1"/>
      <w:numFmt w:val="decimal"/>
      <w:lvlText w:val="%1."/>
      <w:lvlJc w:val="left"/>
      <w:pPr>
        <w:tabs>
          <w:tab w:val="num" w:pos="360"/>
        </w:tabs>
        <w:ind w:left="360" w:hanging="360"/>
      </w:pPr>
    </w:lvl>
  </w:abstractNum>
  <w:abstractNum w:abstractNumId="9">
    <w:nsid w:val="FFFFFF89"/>
    <w:multiLevelType w:val="singleLevel"/>
    <w:tmpl w:val="55AE6B90"/>
    <w:lvl w:ilvl="0">
      <w:start w:val="1"/>
      <w:numFmt w:val="bullet"/>
      <w:lvlText w:val=""/>
      <w:lvlJc w:val="left"/>
      <w:pPr>
        <w:tabs>
          <w:tab w:val="num" w:pos="360"/>
        </w:tabs>
        <w:ind w:left="360" w:hanging="360"/>
      </w:pPr>
      <w:rPr>
        <w:rFonts w:ascii="Symbol" w:hAnsi="Symbol" w:hint="default"/>
      </w:rPr>
    </w:lvl>
  </w:abstractNum>
  <w:abstractNum w:abstractNumId="10">
    <w:nsid w:val="017B06F7"/>
    <w:multiLevelType w:val="hybridMultilevel"/>
    <w:tmpl w:val="82C41772"/>
    <w:lvl w:ilvl="0" w:tplc="040A4EE8">
      <w:start w:val="1"/>
      <w:numFmt w:val="bullet"/>
      <w:lvlText w:val=""/>
      <w:lvlJc w:val="left"/>
      <w:pPr>
        <w:ind w:left="720" w:hanging="360"/>
      </w:pPr>
      <w:rPr>
        <w:rFonts w:ascii="Wingdings" w:hAnsi="Wingdings" w:hint="default"/>
        <w:b w:val="0"/>
        <w:i w:val="0"/>
        <w:color w:val="BAD004"/>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CB750F"/>
    <w:multiLevelType w:val="hybridMultilevel"/>
    <w:tmpl w:val="04D47D98"/>
    <w:lvl w:ilvl="0" w:tplc="04090001">
      <w:start w:val="1"/>
      <w:numFmt w:val="bullet"/>
      <w:lvlText w:val=""/>
      <w:lvlJc w:val="left"/>
      <w:pPr>
        <w:ind w:left="720" w:hanging="360"/>
      </w:pPr>
      <w:rPr>
        <w:rFonts w:ascii="Symbol" w:hAnsi="Symbol" w:hint="default"/>
        <w:color w:val="58595B"/>
        <w:spacing w:val="-6"/>
        <w:w w:val="99"/>
        <w:sz w:val="17"/>
        <w:szCs w:val="17"/>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E71827"/>
    <w:multiLevelType w:val="hybridMultilevel"/>
    <w:tmpl w:val="B3BA5E76"/>
    <w:lvl w:ilvl="0" w:tplc="5CDE19AE">
      <w:start w:val="1"/>
      <w:numFmt w:val="bullet"/>
      <w:pStyle w:val="Bullet"/>
      <w:lvlText w:val=""/>
      <w:lvlJc w:val="left"/>
      <w:pPr>
        <w:ind w:left="720" w:hanging="360"/>
      </w:pPr>
      <w:rPr>
        <w:rFonts w:ascii="Symbol" w:hAnsi="Symbol" w:hint="default"/>
        <w:color w:val="auto"/>
        <w:spacing w:val="-6"/>
        <w:w w:val="99"/>
        <w:sz w:val="17"/>
        <w:szCs w:val="17"/>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C07C38"/>
    <w:multiLevelType w:val="hybridMultilevel"/>
    <w:tmpl w:val="A3462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0E76DF"/>
    <w:multiLevelType w:val="hybridMultilevel"/>
    <w:tmpl w:val="A056A5F4"/>
    <w:lvl w:ilvl="0" w:tplc="B706E448">
      <w:start w:val="1"/>
      <w:numFmt w:val="bullet"/>
      <w:lvlText w:val=""/>
      <w:lvlJc w:val="left"/>
      <w:pPr>
        <w:ind w:left="720" w:hanging="360"/>
      </w:pPr>
      <w:rPr>
        <w:rFonts w:ascii="Wingdings 2" w:hAnsi="Wingdings 2" w:hint="default"/>
        <w:b w:val="0"/>
        <w:i w:val="0"/>
        <w:color w:val="3F5163" w:themeColor="accen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8E3424"/>
    <w:multiLevelType w:val="hybridMultilevel"/>
    <w:tmpl w:val="2CDC71D6"/>
    <w:lvl w:ilvl="0" w:tplc="A1B6522E">
      <w:start w:val="1"/>
      <w:numFmt w:val="bullet"/>
      <w:lvlText w:val="•"/>
      <w:lvlJc w:val="left"/>
      <w:pPr>
        <w:ind w:left="600" w:hanging="360"/>
      </w:pPr>
      <w:rPr>
        <w:rFonts w:ascii="Verdana" w:eastAsia="Verdana" w:hAnsi="Verdana" w:hint="default"/>
        <w:spacing w:val="-3"/>
        <w:w w:val="100"/>
        <w:sz w:val="16"/>
        <w:szCs w:val="16"/>
      </w:rPr>
    </w:lvl>
    <w:lvl w:ilvl="1" w:tplc="B99E7D5E">
      <w:start w:val="1"/>
      <w:numFmt w:val="bullet"/>
      <w:lvlText w:val="•"/>
      <w:lvlJc w:val="left"/>
      <w:pPr>
        <w:ind w:left="879" w:hanging="360"/>
      </w:pPr>
    </w:lvl>
    <w:lvl w:ilvl="2" w:tplc="118EEACE">
      <w:start w:val="1"/>
      <w:numFmt w:val="bullet"/>
      <w:lvlText w:val="•"/>
      <w:lvlJc w:val="left"/>
      <w:pPr>
        <w:ind w:left="1158" w:hanging="360"/>
      </w:pPr>
    </w:lvl>
    <w:lvl w:ilvl="3" w:tplc="7994812A">
      <w:start w:val="1"/>
      <w:numFmt w:val="bullet"/>
      <w:lvlText w:val="•"/>
      <w:lvlJc w:val="left"/>
      <w:pPr>
        <w:ind w:left="1438" w:hanging="360"/>
      </w:pPr>
    </w:lvl>
    <w:lvl w:ilvl="4" w:tplc="9AF09770">
      <w:start w:val="1"/>
      <w:numFmt w:val="bullet"/>
      <w:lvlText w:val="•"/>
      <w:lvlJc w:val="left"/>
      <w:pPr>
        <w:ind w:left="1717" w:hanging="360"/>
      </w:pPr>
    </w:lvl>
    <w:lvl w:ilvl="5" w:tplc="33580180">
      <w:start w:val="1"/>
      <w:numFmt w:val="bullet"/>
      <w:lvlText w:val="•"/>
      <w:lvlJc w:val="left"/>
      <w:pPr>
        <w:ind w:left="1997" w:hanging="360"/>
      </w:pPr>
    </w:lvl>
    <w:lvl w:ilvl="6" w:tplc="E3A61CCC">
      <w:start w:val="1"/>
      <w:numFmt w:val="bullet"/>
      <w:lvlText w:val="•"/>
      <w:lvlJc w:val="left"/>
      <w:pPr>
        <w:ind w:left="2276" w:hanging="360"/>
      </w:pPr>
    </w:lvl>
    <w:lvl w:ilvl="7" w:tplc="24205BB6">
      <w:start w:val="1"/>
      <w:numFmt w:val="bullet"/>
      <w:lvlText w:val="•"/>
      <w:lvlJc w:val="left"/>
      <w:pPr>
        <w:ind w:left="2556" w:hanging="360"/>
      </w:pPr>
    </w:lvl>
    <w:lvl w:ilvl="8" w:tplc="D8A26A58">
      <w:start w:val="1"/>
      <w:numFmt w:val="bullet"/>
      <w:lvlText w:val="•"/>
      <w:lvlJc w:val="left"/>
      <w:pPr>
        <w:ind w:left="2835" w:hanging="360"/>
      </w:pPr>
    </w:lvl>
  </w:abstractNum>
  <w:abstractNum w:abstractNumId="16">
    <w:nsid w:val="1390211B"/>
    <w:multiLevelType w:val="hybridMultilevel"/>
    <w:tmpl w:val="7EE455AE"/>
    <w:lvl w:ilvl="0" w:tplc="B706E448">
      <w:start w:val="1"/>
      <w:numFmt w:val="bullet"/>
      <w:lvlText w:val=""/>
      <w:lvlJc w:val="left"/>
      <w:pPr>
        <w:ind w:left="720" w:hanging="360"/>
      </w:pPr>
      <w:rPr>
        <w:rFonts w:ascii="Wingdings 2" w:hAnsi="Wingdings 2" w:hint="default"/>
        <w:b w:val="0"/>
        <w:i w:val="0"/>
        <w:color w:val="3F5163" w:themeColor="accen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8B6DDE"/>
    <w:multiLevelType w:val="hybridMultilevel"/>
    <w:tmpl w:val="467EA290"/>
    <w:lvl w:ilvl="0" w:tplc="04090001">
      <w:start w:val="1"/>
      <w:numFmt w:val="bullet"/>
      <w:lvlText w:val=""/>
      <w:lvlJc w:val="left"/>
      <w:pPr>
        <w:ind w:left="720" w:hanging="360"/>
      </w:pPr>
      <w:rPr>
        <w:rFonts w:ascii="Symbol" w:hAnsi="Symbol" w:hint="default"/>
        <w:color w:val="58595B"/>
        <w:spacing w:val="-6"/>
        <w:w w:val="99"/>
        <w:sz w:val="17"/>
        <w:szCs w:val="17"/>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2C4711"/>
    <w:multiLevelType w:val="hybridMultilevel"/>
    <w:tmpl w:val="01DEFEE4"/>
    <w:lvl w:ilvl="0" w:tplc="1D0CB90A">
      <w:start w:val="1"/>
      <w:numFmt w:val="decimal"/>
      <w:pStyle w:val="ExhibitBullet"/>
      <w:lvlText w:val="Exhibit %1."/>
      <w:lvlJc w:val="left"/>
      <w:pPr>
        <w:ind w:left="4050" w:hanging="360"/>
      </w:p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start w:val="1"/>
      <w:numFmt w:val="lowerLetter"/>
      <w:lvlText w:val="%5."/>
      <w:lvlJc w:val="left"/>
      <w:pPr>
        <w:ind w:left="1800" w:hanging="360"/>
      </w:pPr>
    </w:lvl>
    <w:lvl w:ilvl="5" w:tplc="0409001B">
      <w:start w:val="1"/>
      <w:numFmt w:val="lowerRoman"/>
      <w:lvlText w:val="%6."/>
      <w:lvlJc w:val="right"/>
      <w:pPr>
        <w:ind w:left="2520" w:hanging="180"/>
      </w:pPr>
    </w:lvl>
    <w:lvl w:ilvl="6" w:tplc="0409000F">
      <w:start w:val="1"/>
      <w:numFmt w:val="decimal"/>
      <w:lvlText w:val="%7."/>
      <w:lvlJc w:val="left"/>
      <w:pPr>
        <w:ind w:left="3240" w:hanging="360"/>
      </w:pPr>
    </w:lvl>
    <w:lvl w:ilvl="7" w:tplc="04090019">
      <w:start w:val="1"/>
      <w:numFmt w:val="lowerLetter"/>
      <w:lvlText w:val="%8."/>
      <w:lvlJc w:val="left"/>
      <w:pPr>
        <w:ind w:left="3960" w:hanging="360"/>
      </w:pPr>
    </w:lvl>
    <w:lvl w:ilvl="8" w:tplc="0409001B">
      <w:start w:val="1"/>
      <w:numFmt w:val="lowerRoman"/>
      <w:lvlText w:val="%9."/>
      <w:lvlJc w:val="right"/>
      <w:pPr>
        <w:ind w:left="4680" w:hanging="180"/>
      </w:pPr>
    </w:lvl>
  </w:abstractNum>
  <w:abstractNum w:abstractNumId="19">
    <w:nsid w:val="1EF9717F"/>
    <w:multiLevelType w:val="hybridMultilevel"/>
    <w:tmpl w:val="78E67306"/>
    <w:lvl w:ilvl="0" w:tplc="709A2DF4">
      <w:start w:val="1"/>
      <w:numFmt w:val="upperLetter"/>
      <w:lvlText w:val="%1."/>
      <w:lvlJc w:val="left"/>
      <w:pPr>
        <w:ind w:left="540" w:hanging="5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1FCC0518"/>
    <w:multiLevelType w:val="hybridMultilevel"/>
    <w:tmpl w:val="2B90B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EF4120"/>
    <w:multiLevelType w:val="hybridMultilevel"/>
    <w:tmpl w:val="6F3CDED4"/>
    <w:lvl w:ilvl="0" w:tplc="F03244AA">
      <w:start w:val="1"/>
      <w:numFmt w:val="decimal"/>
      <w:pStyle w:val="ListParagraph"/>
      <w:lvlText w:val="%1."/>
      <w:lvlJc w:val="left"/>
      <w:pPr>
        <w:ind w:left="720" w:hanging="360"/>
      </w:pPr>
      <w:rPr>
        <w:rFonts w:hint="default"/>
        <w:color w:val="auto"/>
        <w:spacing w:val="-6"/>
        <w:w w:val="99"/>
        <w:sz w:val="17"/>
        <w:szCs w:val="17"/>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483501"/>
    <w:multiLevelType w:val="hybridMultilevel"/>
    <w:tmpl w:val="2476457C"/>
    <w:lvl w:ilvl="0" w:tplc="352EA59A">
      <w:start w:val="1"/>
      <w:numFmt w:val="decimal"/>
      <w:lvlText w:val="%1."/>
      <w:lvlJc w:val="left"/>
      <w:pPr>
        <w:ind w:left="720" w:hanging="360"/>
      </w:pPr>
      <w:rPr>
        <w:rFonts w:ascii="Verdana" w:hAnsi="Verdana" w:hint="default"/>
        <w:sz w:val="17"/>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2E2E30"/>
    <w:multiLevelType w:val="hybridMultilevel"/>
    <w:tmpl w:val="3FBEC5E6"/>
    <w:lvl w:ilvl="0" w:tplc="B706E448">
      <w:start w:val="1"/>
      <w:numFmt w:val="bullet"/>
      <w:lvlText w:val=""/>
      <w:lvlJc w:val="left"/>
      <w:pPr>
        <w:ind w:left="787" w:hanging="360"/>
      </w:pPr>
      <w:rPr>
        <w:rFonts w:ascii="Wingdings 2" w:hAnsi="Wingdings 2" w:hint="default"/>
        <w:b w:val="0"/>
        <w:i w:val="0"/>
        <w:color w:val="3F5163" w:themeColor="accent1"/>
        <w:sz w:val="24"/>
        <w:szCs w:val="24"/>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4">
    <w:nsid w:val="2E900BCE"/>
    <w:multiLevelType w:val="hybridMultilevel"/>
    <w:tmpl w:val="0A828612"/>
    <w:lvl w:ilvl="0" w:tplc="77821D6E">
      <w:start w:val="1"/>
      <w:numFmt w:val="bullet"/>
      <w:lvlText w:val=""/>
      <w:lvlJc w:val="left"/>
      <w:pPr>
        <w:ind w:left="720" w:hanging="360"/>
      </w:pPr>
      <w:rPr>
        <w:rFonts w:ascii="Wingdings" w:hAnsi="Wingdings" w:hint="default"/>
        <w:color w:val="3F5163"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E43A10"/>
    <w:multiLevelType w:val="multilevel"/>
    <w:tmpl w:val="72BC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0A68EE"/>
    <w:multiLevelType w:val="hybridMultilevel"/>
    <w:tmpl w:val="A5869A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E56F7E"/>
    <w:multiLevelType w:val="hybridMultilevel"/>
    <w:tmpl w:val="EBD2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DA26EB"/>
    <w:multiLevelType w:val="hybridMultilevel"/>
    <w:tmpl w:val="94B8EC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E251F3"/>
    <w:multiLevelType w:val="hybridMultilevel"/>
    <w:tmpl w:val="CE44979E"/>
    <w:lvl w:ilvl="0" w:tplc="B706E448">
      <w:start w:val="1"/>
      <w:numFmt w:val="bullet"/>
      <w:lvlText w:val=""/>
      <w:lvlJc w:val="left"/>
      <w:pPr>
        <w:ind w:left="720" w:hanging="360"/>
      </w:pPr>
      <w:rPr>
        <w:rFonts w:ascii="Wingdings 2" w:hAnsi="Wingdings 2" w:hint="default"/>
        <w:b w:val="0"/>
        <w:i w:val="0"/>
        <w:color w:val="3F5163" w:themeColor="accen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FD5433"/>
    <w:multiLevelType w:val="hybridMultilevel"/>
    <w:tmpl w:val="2AA2F264"/>
    <w:lvl w:ilvl="0" w:tplc="99327E6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893FFD"/>
    <w:multiLevelType w:val="hybridMultilevel"/>
    <w:tmpl w:val="A49C88FA"/>
    <w:lvl w:ilvl="0" w:tplc="6BAAEDD2">
      <w:start w:val="1"/>
      <w:numFmt w:val="bullet"/>
      <w:lvlText w:val=""/>
      <w:lvlJc w:val="left"/>
      <w:pPr>
        <w:ind w:left="720" w:hanging="360"/>
      </w:pPr>
      <w:rPr>
        <w:rFonts w:ascii="Wingdings" w:hAnsi="Wingdings" w:hint="default"/>
        <w:color w:val="1B69AA"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2B6CC9"/>
    <w:multiLevelType w:val="hybridMultilevel"/>
    <w:tmpl w:val="3F0E4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521D0E"/>
    <w:multiLevelType w:val="hybridMultilevel"/>
    <w:tmpl w:val="A6AEF602"/>
    <w:lvl w:ilvl="0" w:tplc="AF1AE952">
      <w:start w:val="1"/>
      <w:numFmt w:val="bullet"/>
      <w:lvlText w:val=""/>
      <w:lvlJc w:val="left"/>
      <w:pPr>
        <w:ind w:left="720" w:hanging="360"/>
      </w:pPr>
      <w:rPr>
        <w:rFonts w:ascii="Symbol" w:hAnsi="Symbol" w:hint="default"/>
        <w:color w:val="E5542E" w:themeColor="accent4"/>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5D3839"/>
    <w:multiLevelType w:val="hybridMultilevel"/>
    <w:tmpl w:val="90C426D6"/>
    <w:lvl w:ilvl="0" w:tplc="316A03BA">
      <w:start w:val="1"/>
      <w:numFmt w:val="bullet"/>
      <w:lvlText w:val=""/>
      <w:lvlJc w:val="left"/>
      <w:pPr>
        <w:tabs>
          <w:tab w:val="num" w:pos="1800"/>
        </w:tabs>
        <w:ind w:left="1800" w:hanging="360"/>
      </w:pPr>
      <w:rPr>
        <w:rFonts w:ascii="Wingdings" w:hAnsi="Wingdings" w:hint="default"/>
        <w:b w:val="0"/>
        <w:i w:val="0"/>
        <w:color w:val="BAD004"/>
        <w:sz w:val="24"/>
        <w:szCs w:val="24"/>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5F062D76"/>
    <w:multiLevelType w:val="hybridMultilevel"/>
    <w:tmpl w:val="7F5A154E"/>
    <w:lvl w:ilvl="0" w:tplc="8E108FB8">
      <w:start w:val="1"/>
      <w:numFmt w:val="bullet"/>
      <w:lvlText w:val="•"/>
      <w:lvlJc w:val="left"/>
      <w:pPr>
        <w:ind w:left="720" w:hanging="360"/>
      </w:pPr>
      <w:rPr>
        <w:rFonts w:ascii="Verdana" w:eastAsia="Verdana" w:hAnsi="Verdana" w:hint="default"/>
        <w:color w:val="58595B"/>
        <w:spacing w:val="-6"/>
        <w:w w:val="99"/>
        <w:sz w:val="17"/>
        <w:szCs w:val="17"/>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B4072C"/>
    <w:multiLevelType w:val="hybridMultilevel"/>
    <w:tmpl w:val="8F04FBC8"/>
    <w:lvl w:ilvl="0" w:tplc="0409000F">
      <w:start w:val="1"/>
      <w:numFmt w:val="decimal"/>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70C57FB6"/>
    <w:multiLevelType w:val="hybridMultilevel"/>
    <w:tmpl w:val="9618B270"/>
    <w:lvl w:ilvl="0" w:tplc="DF3EE70A">
      <w:start w:val="1"/>
      <w:numFmt w:val="bullet"/>
      <w:lvlText w:val=""/>
      <w:lvlJc w:val="left"/>
      <w:pPr>
        <w:ind w:left="720" w:hanging="360"/>
      </w:pPr>
      <w:rPr>
        <w:rFonts w:ascii="Symbol" w:hAnsi="Symbol" w:hint="default"/>
        <w:color w:val="3F5163"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7714E2"/>
    <w:multiLevelType w:val="hybridMultilevel"/>
    <w:tmpl w:val="8DA0DBBC"/>
    <w:lvl w:ilvl="0" w:tplc="4650CA88">
      <w:start w:val="1"/>
      <w:numFmt w:val="bullet"/>
      <w:lvlText w:val=""/>
      <w:lvlJc w:val="left"/>
      <w:pPr>
        <w:ind w:left="720" w:hanging="360"/>
      </w:pPr>
      <w:rPr>
        <w:rFonts w:ascii="Wingdings" w:hAnsi="Wingdings" w:hint="default"/>
        <w:color w:val="E5542E" w:themeColor="accent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B3552B"/>
    <w:multiLevelType w:val="hybridMultilevel"/>
    <w:tmpl w:val="298C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6E7083"/>
    <w:multiLevelType w:val="hybridMultilevel"/>
    <w:tmpl w:val="365CE2E8"/>
    <w:lvl w:ilvl="0" w:tplc="B706E448">
      <w:start w:val="1"/>
      <w:numFmt w:val="bullet"/>
      <w:lvlText w:val=""/>
      <w:lvlJc w:val="left"/>
      <w:pPr>
        <w:ind w:left="1440" w:hanging="360"/>
      </w:pPr>
      <w:rPr>
        <w:rFonts w:ascii="Wingdings 2" w:hAnsi="Wingdings 2" w:hint="default"/>
        <w:b w:val="0"/>
        <w:i w:val="0"/>
        <w:color w:val="3F5163" w:themeColor="accent1"/>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BBA72E8"/>
    <w:multiLevelType w:val="hybridMultilevel"/>
    <w:tmpl w:val="DDF207C4"/>
    <w:lvl w:ilvl="0" w:tplc="885CD7FE">
      <w:start w:val="1"/>
      <w:numFmt w:val="bullet"/>
      <w:lvlText w:val="•"/>
      <w:lvlJc w:val="left"/>
      <w:pPr>
        <w:tabs>
          <w:tab w:val="num" w:pos="1800"/>
        </w:tabs>
        <w:ind w:left="1800" w:hanging="360"/>
      </w:pPr>
      <w:rPr>
        <w:rFonts w:ascii="Verdana" w:eastAsia="Verdana" w:hAnsi="Verdana" w:hint="default"/>
        <w:b w:val="0"/>
        <w:i w:val="0"/>
        <w:color w:val="58595B"/>
        <w:spacing w:val="-6"/>
        <w:w w:val="99"/>
        <w:sz w:val="17"/>
        <w:szCs w:val="17"/>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7D3946F2"/>
    <w:multiLevelType w:val="hybridMultilevel"/>
    <w:tmpl w:val="0E7AA532"/>
    <w:lvl w:ilvl="0" w:tplc="B706E448">
      <w:start w:val="1"/>
      <w:numFmt w:val="bullet"/>
      <w:lvlText w:val=""/>
      <w:lvlJc w:val="left"/>
      <w:pPr>
        <w:ind w:left="720" w:hanging="360"/>
      </w:pPr>
      <w:rPr>
        <w:rFonts w:ascii="Wingdings 2" w:hAnsi="Wingdings 2" w:hint="default"/>
        <w:b w:val="0"/>
        <w:i w:val="0"/>
        <w:color w:val="3F5163" w:themeColor="accen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24"/>
  </w:num>
  <w:num w:numId="4">
    <w:abstractNumId w:val="38"/>
  </w:num>
  <w:num w:numId="5">
    <w:abstractNumId w:val="8"/>
  </w:num>
  <w:num w:numId="6">
    <w:abstractNumId w:val="35"/>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4"/>
  </w:num>
  <w:num w:numId="10">
    <w:abstractNumId w:val="15"/>
  </w:num>
  <w:num w:numId="11">
    <w:abstractNumId w:val="34"/>
  </w:num>
  <w:num w:numId="12">
    <w:abstractNumId w:val="41"/>
  </w:num>
  <w:num w:numId="13">
    <w:abstractNumId w:val="37"/>
  </w:num>
  <w:num w:numId="14">
    <w:abstractNumId w:val="33"/>
  </w:num>
  <w:num w:numId="15">
    <w:abstractNumId w:val="9"/>
  </w:num>
  <w:num w:numId="16">
    <w:abstractNumId w:val="7"/>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21"/>
  </w:num>
  <w:num w:numId="25">
    <w:abstractNumId w:val="11"/>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3"/>
  </w:num>
  <w:num w:numId="29">
    <w:abstractNumId w:val="27"/>
  </w:num>
  <w:num w:numId="30">
    <w:abstractNumId w:val="17"/>
  </w:num>
  <w:num w:numId="31">
    <w:abstractNumId w:val="12"/>
  </w:num>
  <w:num w:numId="32">
    <w:abstractNumId w:val="20"/>
  </w:num>
  <w:num w:numId="33">
    <w:abstractNumId w:val="19"/>
  </w:num>
  <w:num w:numId="34">
    <w:abstractNumId w:val="30"/>
  </w:num>
  <w:num w:numId="35">
    <w:abstractNumId w:val="32"/>
  </w:num>
  <w:num w:numId="36">
    <w:abstractNumId w:val="29"/>
  </w:num>
  <w:num w:numId="37">
    <w:abstractNumId w:val="10"/>
  </w:num>
  <w:num w:numId="38">
    <w:abstractNumId w:val="16"/>
  </w:num>
  <w:num w:numId="39">
    <w:abstractNumId w:val="42"/>
  </w:num>
  <w:num w:numId="40">
    <w:abstractNumId w:val="14"/>
  </w:num>
  <w:num w:numId="41">
    <w:abstractNumId w:val="23"/>
  </w:num>
  <w:num w:numId="42">
    <w:abstractNumId w:val="40"/>
  </w:num>
  <w:num w:numId="43">
    <w:abstractNumId w:val="39"/>
  </w:num>
  <w:num w:numId="44">
    <w:abstractNumId w:val="28"/>
  </w:num>
  <w:num w:numId="45">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SortMethod w:val="0000"/>
  <w:defaultTabStop w:val="720"/>
  <w:drawingGridHorizontalSpacing w:val="10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661"/>
    <w:rsid w:val="00000F2E"/>
    <w:rsid w:val="00001C40"/>
    <w:rsid w:val="0000219C"/>
    <w:rsid w:val="0000664C"/>
    <w:rsid w:val="00007249"/>
    <w:rsid w:val="00007E55"/>
    <w:rsid w:val="00011830"/>
    <w:rsid w:val="00011B04"/>
    <w:rsid w:val="00012CA7"/>
    <w:rsid w:val="000132D8"/>
    <w:rsid w:val="0001598E"/>
    <w:rsid w:val="0002008A"/>
    <w:rsid w:val="00020B93"/>
    <w:rsid w:val="0002233C"/>
    <w:rsid w:val="0002237F"/>
    <w:rsid w:val="000248F0"/>
    <w:rsid w:val="0002698E"/>
    <w:rsid w:val="0002778D"/>
    <w:rsid w:val="00030A12"/>
    <w:rsid w:val="00031461"/>
    <w:rsid w:val="0003278D"/>
    <w:rsid w:val="00033741"/>
    <w:rsid w:val="0003459C"/>
    <w:rsid w:val="000345ED"/>
    <w:rsid w:val="0003611D"/>
    <w:rsid w:val="0003631C"/>
    <w:rsid w:val="00036DB4"/>
    <w:rsid w:val="00043727"/>
    <w:rsid w:val="00043914"/>
    <w:rsid w:val="00044057"/>
    <w:rsid w:val="0004489D"/>
    <w:rsid w:val="000459B5"/>
    <w:rsid w:val="0005289E"/>
    <w:rsid w:val="00054269"/>
    <w:rsid w:val="00055CB7"/>
    <w:rsid w:val="000577D2"/>
    <w:rsid w:val="00057925"/>
    <w:rsid w:val="000605CA"/>
    <w:rsid w:val="000616D6"/>
    <w:rsid w:val="000618EE"/>
    <w:rsid w:val="00061FAC"/>
    <w:rsid w:val="000630DC"/>
    <w:rsid w:val="00064B70"/>
    <w:rsid w:val="00072754"/>
    <w:rsid w:val="0007349A"/>
    <w:rsid w:val="00075388"/>
    <w:rsid w:val="000819FE"/>
    <w:rsid w:val="00085B90"/>
    <w:rsid w:val="0009071D"/>
    <w:rsid w:val="00094B31"/>
    <w:rsid w:val="000962D5"/>
    <w:rsid w:val="00097CDE"/>
    <w:rsid w:val="000A2767"/>
    <w:rsid w:val="000A32F1"/>
    <w:rsid w:val="000B0A84"/>
    <w:rsid w:val="000B16B4"/>
    <w:rsid w:val="000B1E58"/>
    <w:rsid w:val="000B262A"/>
    <w:rsid w:val="000B59C6"/>
    <w:rsid w:val="000B63AB"/>
    <w:rsid w:val="000B67F5"/>
    <w:rsid w:val="000B76D4"/>
    <w:rsid w:val="000C3080"/>
    <w:rsid w:val="000C5D01"/>
    <w:rsid w:val="000C7309"/>
    <w:rsid w:val="000C76AC"/>
    <w:rsid w:val="000C7D9E"/>
    <w:rsid w:val="000C7EC5"/>
    <w:rsid w:val="000D0FD4"/>
    <w:rsid w:val="000D2A32"/>
    <w:rsid w:val="000D3BB9"/>
    <w:rsid w:val="000D5BD4"/>
    <w:rsid w:val="000D65B2"/>
    <w:rsid w:val="000D6EA9"/>
    <w:rsid w:val="000D72F7"/>
    <w:rsid w:val="000D7892"/>
    <w:rsid w:val="000E1733"/>
    <w:rsid w:val="000E2C07"/>
    <w:rsid w:val="000E2E74"/>
    <w:rsid w:val="000E32CC"/>
    <w:rsid w:val="000E570A"/>
    <w:rsid w:val="000E7F3D"/>
    <w:rsid w:val="000F4916"/>
    <w:rsid w:val="000F6012"/>
    <w:rsid w:val="000F701F"/>
    <w:rsid w:val="000F7EFE"/>
    <w:rsid w:val="000F7F94"/>
    <w:rsid w:val="001012C1"/>
    <w:rsid w:val="00101D28"/>
    <w:rsid w:val="00102293"/>
    <w:rsid w:val="0010738C"/>
    <w:rsid w:val="001077F9"/>
    <w:rsid w:val="00110E23"/>
    <w:rsid w:val="00110E87"/>
    <w:rsid w:val="00111C36"/>
    <w:rsid w:val="001169EA"/>
    <w:rsid w:val="001200B9"/>
    <w:rsid w:val="0012031E"/>
    <w:rsid w:val="00121925"/>
    <w:rsid w:val="00121DC6"/>
    <w:rsid w:val="00121F01"/>
    <w:rsid w:val="0012207A"/>
    <w:rsid w:val="00123404"/>
    <w:rsid w:val="00123B12"/>
    <w:rsid w:val="001275D8"/>
    <w:rsid w:val="00130E24"/>
    <w:rsid w:val="00132184"/>
    <w:rsid w:val="0013241F"/>
    <w:rsid w:val="00133692"/>
    <w:rsid w:val="00134E26"/>
    <w:rsid w:val="00136A30"/>
    <w:rsid w:val="0014019B"/>
    <w:rsid w:val="00140D2C"/>
    <w:rsid w:val="00141F48"/>
    <w:rsid w:val="0014215F"/>
    <w:rsid w:val="00143F0B"/>
    <w:rsid w:val="00145E03"/>
    <w:rsid w:val="00146402"/>
    <w:rsid w:val="0015035B"/>
    <w:rsid w:val="0015065D"/>
    <w:rsid w:val="0015262A"/>
    <w:rsid w:val="0015264E"/>
    <w:rsid w:val="00152CB9"/>
    <w:rsid w:val="00152DD1"/>
    <w:rsid w:val="00154355"/>
    <w:rsid w:val="00154724"/>
    <w:rsid w:val="00155067"/>
    <w:rsid w:val="00156465"/>
    <w:rsid w:val="00161A44"/>
    <w:rsid w:val="00161F00"/>
    <w:rsid w:val="00162A26"/>
    <w:rsid w:val="001637D4"/>
    <w:rsid w:val="00163B03"/>
    <w:rsid w:val="00163F72"/>
    <w:rsid w:val="0016412B"/>
    <w:rsid w:val="00166069"/>
    <w:rsid w:val="001662DF"/>
    <w:rsid w:val="00166AAB"/>
    <w:rsid w:val="00166ECE"/>
    <w:rsid w:val="001672DD"/>
    <w:rsid w:val="001700F6"/>
    <w:rsid w:val="0017037A"/>
    <w:rsid w:val="0017288D"/>
    <w:rsid w:val="00175084"/>
    <w:rsid w:val="001777DF"/>
    <w:rsid w:val="001809B0"/>
    <w:rsid w:val="00182FEE"/>
    <w:rsid w:val="001830D9"/>
    <w:rsid w:val="0018341B"/>
    <w:rsid w:val="001856B3"/>
    <w:rsid w:val="00185A6C"/>
    <w:rsid w:val="0018605C"/>
    <w:rsid w:val="00186768"/>
    <w:rsid w:val="00186CDE"/>
    <w:rsid w:val="0018734E"/>
    <w:rsid w:val="00187CFD"/>
    <w:rsid w:val="001935CB"/>
    <w:rsid w:val="00193902"/>
    <w:rsid w:val="0019407D"/>
    <w:rsid w:val="0019535D"/>
    <w:rsid w:val="0019608E"/>
    <w:rsid w:val="001970FC"/>
    <w:rsid w:val="001A0F70"/>
    <w:rsid w:val="001A0FCE"/>
    <w:rsid w:val="001A1527"/>
    <w:rsid w:val="001A27F7"/>
    <w:rsid w:val="001A28B4"/>
    <w:rsid w:val="001A3345"/>
    <w:rsid w:val="001A4501"/>
    <w:rsid w:val="001A69F1"/>
    <w:rsid w:val="001A6ACC"/>
    <w:rsid w:val="001A7F53"/>
    <w:rsid w:val="001B0612"/>
    <w:rsid w:val="001B17B2"/>
    <w:rsid w:val="001B1AB5"/>
    <w:rsid w:val="001B356A"/>
    <w:rsid w:val="001B4924"/>
    <w:rsid w:val="001B4B0A"/>
    <w:rsid w:val="001B5A65"/>
    <w:rsid w:val="001B6F9E"/>
    <w:rsid w:val="001B734D"/>
    <w:rsid w:val="001C0DD7"/>
    <w:rsid w:val="001C1382"/>
    <w:rsid w:val="001C14CD"/>
    <w:rsid w:val="001C16CE"/>
    <w:rsid w:val="001C498F"/>
    <w:rsid w:val="001C607C"/>
    <w:rsid w:val="001C69A3"/>
    <w:rsid w:val="001D03EE"/>
    <w:rsid w:val="001D415A"/>
    <w:rsid w:val="001D5795"/>
    <w:rsid w:val="001D7F14"/>
    <w:rsid w:val="001E2E61"/>
    <w:rsid w:val="001E4D51"/>
    <w:rsid w:val="001F1457"/>
    <w:rsid w:val="001F1A5D"/>
    <w:rsid w:val="001F4494"/>
    <w:rsid w:val="001F5F4F"/>
    <w:rsid w:val="001F623A"/>
    <w:rsid w:val="002020FC"/>
    <w:rsid w:val="002021EA"/>
    <w:rsid w:val="002028A2"/>
    <w:rsid w:val="0020543E"/>
    <w:rsid w:val="0020569F"/>
    <w:rsid w:val="00205A0B"/>
    <w:rsid w:val="00205ED6"/>
    <w:rsid w:val="00207633"/>
    <w:rsid w:val="00207BC4"/>
    <w:rsid w:val="002118C0"/>
    <w:rsid w:val="00217B76"/>
    <w:rsid w:val="00221501"/>
    <w:rsid w:val="00221A4F"/>
    <w:rsid w:val="00221A75"/>
    <w:rsid w:val="00222341"/>
    <w:rsid w:val="00222DEE"/>
    <w:rsid w:val="002262FD"/>
    <w:rsid w:val="00227528"/>
    <w:rsid w:val="00227FB2"/>
    <w:rsid w:val="00230E9E"/>
    <w:rsid w:val="002318E4"/>
    <w:rsid w:val="002324AC"/>
    <w:rsid w:val="00235579"/>
    <w:rsid w:val="0023614D"/>
    <w:rsid w:val="00236C12"/>
    <w:rsid w:val="0023709F"/>
    <w:rsid w:val="00237698"/>
    <w:rsid w:val="002376BC"/>
    <w:rsid w:val="00240732"/>
    <w:rsid w:val="00241FDA"/>
    <w:rsid w:val="00243503"/>
    <w:rsid w:val="00245B64"/>
    <w:rsid w:val="00247A7A"/>
    <w:rsid w:val="00247C66"/>
    <w:rsid w:val="002512F3"/>
    <w:rsid w:val="00252DA2"/>
    <w:rsid w:val="0025330E"/>
    <w:rsid w:val="002542B1"/>
    <w:rsid w:val="00254C0F"/>
    <w:rsid w:val="00254F2A"/>
    <w:rsid w:val="00255E2A"/>
    <w:rsid w:val="00255E4B"/>
    <w:rsid w:val="002562DE"/>
    <w:rsid w:val="00256B95"/>
    <w:rsid w:val="00256CD7"/>
    <w:rsid w:val="0025706B"/>
    <w:rsid w:val="002601AB"/>
    <w:rsid w:val="00262B6C"/>
    <w:rsid w:val="00263B6C"/>
    <w:rsid w:val="00263D7C"/>
    <w:rsid w:val="002642E8"/>
    <w:rsid w:val="00264474"/>
    <w:rsid w:val="002644FD"/>
    <w:rsid w:val="00265A97"/>
    <w:rsid w:val="00267135"/>
    <w:rsid w:val="002674D1"/>
    <w:rsid w:val="00267CA7"/>
    <w:rsid w:val="00271800"/>
    <w:rsid w:val="00273F82"/>
    <w:rsid w:val="00276333"/>
    <w:rsid w:val="002773B2"/>
    <w:rsid w:val="00277D26"/>
    <w:rsid w:val="00277D9F"/>
    <w:rsid w:val="00281089"/>
    <w:rsid w:val="00281A52"/>
    <w:rsid w:val="00282DDA"/>
    <w:rsid w:val="0028478B"/>
    <w:rsid w:val="00284F34"/>
    <w:rsid w:val="00284F62"/>
    <w:rsid w:val="00286AD2"/>
    <w:rsid w:val="002874B5"/>
    <w:rsid w:val="00293FA5"/>
    <w:rsid w:val="00294648"/>
    <w:rsid w:val="00294ADF"/>
    <w:rsid w:val="002958E8"/>
    <w:rsid w:val="00296F19"/>
    <w:rsid w:val="00297CC6"/>
    <w:rsid w:val="002A1160"/>
    <w:rsid w:val="002A4F8A"/>
    <w:rsid w:val="002A64B2"/>
    <w:rsid w:val="002B09F2"/>
    <w:rsid w:val="002B12F2"/>
    <w:rsid w:val="002B34F8"/>
    <w:rsid w:val="002B47D7"/>
    <w:rsid w:val="002B5932"/>
    <w:rsid w:val="002B5D08"/>
    <w:rsid w:val="002B5DC6"/>
    <w:rsid w:val="002B703F"/>
    <w:rsid w:val="002B7CA9"/>
    <w:rsid w:val="002C1E0C"/>
    <w:rsid w:val="002C1FB1"/>
    <w:rsid w:val="002C4857"/>
    <w:rsid w:val="002C62C0"/>
    <w:rsid w:val="002C6830"/>
    <w:rsid w:val="002D059B"/>
    <w:rsid w:val="002D20B8"/>
    <w:rsid w:val="002D20C7"/>
    <w:rsid w:val="002D610D"/>
    <w:rsid w:val="002E0205"/>
    <w:rsid w:val="002E2947"/>
    <w:rsid w:val="002E3139"/>
    <w:rsid w:val="002E5737"/>
    <w:rsid w:val="002E5EDF"/>
    <w:rsid w:val="002E61FE"/>
    <w:rsid w:val="002E76A6"/>
    <w:rsid w:val="002F084E"/>
    <w:rsid w:val="002F0B07"/>
    <w:rsid w:val="002F3FAB"/>
    <w:rsid w:val="002F47E9"/>
    <w:rsid w:val="002F5D13"/>
    <w:rsid w:val="002F6FA1"/>
    <w:rsid w:val="002F72D5"/>
    <w:rsid w:val="002F7F28"/>
    <w:rsid w:val="003053A5"/>
    <w:rsid w:val="0030709E"/>
    <w:rsid w:val="003077B5"/>
    <w:rsid w:val="00307856"/>
    <w:rsid w:val="00307C10"/>
    <w:rsid w:val="00310E44"/>
    <w:rsid w:val="0031165B"/>
    <w:rsid w:val="00311B96"/>
    <w:rsid w:val="0031292D"/>
    <w:rsid w:val="00313DA6"/>
    <w:rsid w:val="003141CE"/>
    <w:rsid w:val="00314334"/>
    <w:rsid w:val="00314C43"/>
    <w:rsid w:val="003211A8"/>
    <w:rsid w:val="003230D7"/>
    <w:rsid w:val="00327404"/>
    <w:rsid w:val="00327E83"/>
    <w:rsid w:val="003302C9"/>
    <w:rsid w:val="003313D3"/>
    <w:rsid w:val="00331491"/>
    <w:rsid w:val="00337491"/>
    <w:rsid w:val="00337E3A"/>
    <w:rsid w:val="00342032"/>
    <w:rsid w:val="00347498"/>
    <w:rsid w:val="00347F36"/>
    <w:rsid w:val="003501FC"/>
    <w:rsid w:val="003510EC"/>
    <w:rsid w:val="00351172"/>
    <w:rsid w:val="00355926"/>
    <w:rsid w:val="00356B6E"/>
    <w:rsid w:val="00357C5A"/>
    <w:rsid w:val="00361C8F"/>
    <w:rsid w:val="0036528F"/>
    <w:rsid w:val="0036539E"/>
    <w:rsid w:val="003657FD"/>
    <w:rsid w:val="00365EEC"/>
    <w:rsid w:val="003666B3"/>
    <w:rsid w:val="0036714A"/>
    <w:rsid w:val="00372000"/>
    <w:rsid w:val="00372649"/>
    <w:rsid w:val="0037329C"/>
    <w:rsid w:val="0037384F"/>
    <w:rsid w:val="00373C15"/>
    <w:rsid w:val="003748D0"/>
    <w:rsid w:val="003768D5"/>
    <w:rsid w:val="003777DF"/>
    <w:rsid w:val="00377D8D"/>
    <w:rsid w:val="0038064F"/>
    <w:rsid w:val="0038101F"/>
    <w:rsid w:val="00382C83"/>
    <w:rsid w:val="0038348A"/>
    <w:rsid w:val="00384EE6"/>
    <w:rsid w:val="00385B1A"/>
    <w:rsid w:val="00387BF0"/>
    <w:rsid w:val="00393013"/>
    <w:rsid w:val="0039323C"/>
    <w:rsid w:val="00394CCF"/>
    <w:rsid w:val="00395B87"/>
    <w:rsid w:val="003A081F"/>
    <w:rsid w:val="003A1EB5"/>
    <w:rsid w:val="003A2B05"/>
    <w:rsid w:val="003A423C"/>
    <w:rsid w:val="003A5924"/>
    <w:rsid w:val="003A64EE"/>
    <w:rsid w:val="003A669B"/>
    <w:rsid w:val="003A6DFB"/>
    <w:rsid w:val="003B0E4C"/>
    <w:rsid w:val="003B4326"/>
    <w:rsid w:val="003B43B8"/>
    <w:rsid w:val="003B53D2"/>
    <w:rsid w:val="003B66AD"/>
    <w:rsid w:val="003B72CB"/>
    <w:rsid w:val="003B7CAA"/>
    <w:rsid w:val="003C00C2"/>
    <w:rsid w:val="003C1916"/>
    <w:rsid w:val="003C2C5F"/>
    <w:rsid w:val="003C3396"/>
    <w:rsid w:val="003C359B"/>
    <w:rsid w:val="003C5B4A"/>
    <w:rsid w:val="003C5C28"/>
    <w:rsid w:val="003D094E"/>
    <w:rsid w:val="003D16E5"/>
    <w:rsid w:val="003D3610"/>
    <w:rsid w:val="003D3661"/>
    <w:rsid w:val="003D4071"/>
    <w:rsid w:val="003D48CB"/>
    <w:rsid w:val="003D4EEB"/>
    <w:rsid w:val="003D5758"/>
    <w:rsid w:val="003D679A"/>
    <w:rsid w:val="003D74DB"/>
    <w:rsid w:val="003E67C3"/>
    <w:rsid w:val="003F0971"/>
    <w:rsid w:val="003F1E43"/>
    <w:rsid w:val="003F4AFF"/>
    <w:rsid w:val="003F5F3A"/>
    <w:rsid w:val="003F66B3"/>
    <w:rsid w:val="003F7911"/>
    <w:rsid w:val="0040525A"/>
    <w:rsid w:val="004078F0"/>
    <w:rsid w:val="00407B66"/>
    <w:rsid w:val="00410FDC"/>
    <w:rsid w:val="0041156A"/>
    <w:rsid w:val="0041174C"/>
    <w:rsid w:val="004119BC"/>
    <w:rsid w:val="00411BAC"/>
    <w:rsid w:val="00411DB2"/>
    <w:rsid w:val="00412052"/>
    <w:rsid w:val="0041308B"/>
    <w:rsid w:val="004153CA"/>
    <w:rsid w:val="00415699"/>
    <w:rsid w:val="00416093"/>
    <w:rsid w:val="00416211"/>
    <w:rsid w:val="004164E5"/>
    <w:rsid w:val="00420D9E"/>
    <w:rsid w:val="00421BC1"/>
    <w:rsid w:val="00421CC3"/>
    <w:rsid w:val="00421D75"/>
    <w:rsid w:val="004238AF"/>
    <w:rsid w:val="0042549F"/>
    <w:rsid w:val="004255D2"/>
    <w:rsid w:val="004257B9"/>
    <w:rsid w:val="004268ED"/>
    <w:rsid w:val="00427008"/>
    <w:rsid w:val="00427602"/>
    <w:rsid w:val="0042798D"/>
    <w:rsid w:val="004301F8"/>
    <w:rsid w:val="00430AA4"/>
    <w:rsid w:val="00432EA5"/>
    <w:rsid w:val="004336A0"/>
    <w:rsid w:val="00434F9C"/>
    <w:rsid w:val="004369DC"/>
    <w:rsid w:val="00441DEA"/>
    <w:rsid w:val="004451A1"/>
    <w:rsid w:val="00450D64"/>
    <w:rsid w:val="004524D8"/>
    <w:rsid w:val="0045683A"/>
    <w:rsid w:val="00457A68"/>
    <w:rsid w:val="00460576"/>
    <w:rsid w:val="00460996"/>
    <w:rsid w:val="00463D04"/>
    <w:rsid w:val="004652D6"/>
    <w:rsid w:val="0046620B"/>
    <w:rsid w:val="004667D1"/>
    <w:rsid w:val="00471E72"/>
    <w:rsid w:val="00472449"/>
    <w:rsid w:val="0047246C"/>
    <w:rsid w:val="0047273B"/>
    <w:rsid w:val="0047403A"/>
    <w:rsid w:val="00474B0E"/>
    <w:rsid w:val="00476728"/>
    <w:rsid w:val="00481A95"/>
    <w:rsid w:val="00483DB6"/>
    <w:rsid w:val="00485863"/>
    <w:rsid w:val="00485EF6"/>
    <w:rsid w:val="00490329"/>
    <w:rsid w:val="00491F84"/>
    <w:rsid w:val="00493629"/>
    <w:rsid w:val="00495EFA"/>
    <w:rsid w:val="00496B39"/>
    <w:rsid w:val="004A2C4E"/>
    <w:rsid w:val="004A3949"/>
    <w:rsid w:val="004A405B"/>
    <w:rsid w:val="004A4DE7"/>
    <w:rsid w:val="004A7CF2"/>
    <w:rsid w:val="004B0F0D"/>
    <w:rsid w:val="004B14F1"/>
    <w:rsid w:val="004B4D10"/>
    <w:rsid w:val="004B5CC4"/>
    <w:rsid w:val="004B6064"/>
    <w:rsid w:val="004B6F52"/>
    <w:rsid w:val="004B73E0"/>
    <w:rsid w:val="004B7844"/>
    <w:rsid w:val="004C166B"/>
    <w:rsid w:val="004C1DA2"/>
    <w:rsid w:val="004C2324"/>
    <w:rsid w:val="004C35B2"/>
    <w:rsid w:val="004C4FF0"/>
    <w:rsid w:val="004C5A17"/>
    <w:rsid w:val="004D4248"/>
    <w:rsid w:val="004D4599"/>
    <w:rsid w:val="004D565D"/>
    <w:rsid w:val="004D605C"/>
    <w:rsid w:val="004D6C51"/>
    <w:rsid w:val="004D7239"/>
    <w:rsid w:val="004E18E1"/>
    <w:rsid w:val="004E2642"/>
    <w:rsid w:val="004E447C"/>
    <w:rsid w:val="004E4B19"/>
    <w:rsid w:val="004E4E6E"/>
    <w:rsid w:val="004E57F6"/>
    <w:rsid w:val="004F1BE6"/>
    <w:rsid w:val="004F25EC"/>
    <w:rsid w:val="004F5400"/>
    <w:rsid w:val="004F577A"/>
    <w:rsid w:val="00500BE7"/>
    <w:rsid w:val="005018AB"/>
    <w:rsid w:val="00502C77"/>
    <w:rsid w:val="00505A1A"/>
    <w:rsid w:val="00505B75"/>
    <w:rsid w:val="005068B1"/>
    <w:rsid w:val="00506F5A"/>
    <w:rsid w:val="00510BD9"/>
    <w:rsid w:val="00511B69"/>
    <w:rsid w:val="0051270E"/>
    <w:rsid w:val="00513076"/>
    <w:rsid w:val="00513BB3"/>
    <w:rsid w:val="00515043"/>
    <w:rsid w:val="005150DE"/>
    <w:rsid w:val="005156D4"/>
    <w:rsid w:val="00517C58"/>
    <w:rsid w:val="00521519"/>
    <w:rsid w:val="00522114"/>
    <w:rsid w:val="005235BE"/>
    <w:rsid w:val="00523BBB"/>
    <w:rsid w:val="00527358"/>
    <w:rsid w:val="005273A6"/>
    <w:rsid w:val="0053121B"/>
    <w:rsid w:val="00531249"/>
    <w:rsid w:val="005312C3"/>
    <w:rsid w:val="00531625"/>
    <w:rsid w:val="005330DB"/>
    <w:rsid w:val="005370BA"/>
    <w:rsid w:val="00537E6B"/>
    <w:rsid w:val="0054047E"/>
    <w:rsid w:val="005406AE"/>
    <w:rsid w:val="00541DB8"/>
    <w:rsid w:val="00543C18"/>
    <w:rsid w:val="0054714B"/>
    <w:rsid w:val="00551773"/>
    <w:rsid w:val="00552347"/>
    <w:rsid w:val="005524A8"/>
    <w:rsid w:val="0055305F"/>
    <w:rsid w:val="00553546"/>
    <w:rsid w:val="0055518B"/>
    <w:rsid w:val="005566D7"/>
    <w:rsid w:val="005571EA"/>
    <w:rsid w:val="005610C2"/>
    <w:rsid w:val="005620B0"/>
    <w:rsid w:val="00562F33"/>
    <w:rsid w:val="00563071"/>
    <w:rsid w:val="0056408E"/>
    <w:rsid w:val="00564C2F"/>
    <w:rsid w:val="00565033"/>
    <w:rsid w:val="00565069"/>
    <w:rsid w:val="005719CD"/>
    <w:rsid w:val="0057293A"/>
    <w:rsid w:val="00572F99"/>
    <w:rsid w:val="00573189"/>
    <w:rsid w:val="00574522"/>
    <w:rsid w:val="005764DE"/>
    <w:rsid w:val="0058270F"/>
    <w:rsid w:val="00583657"/>
    <w:rsid w:val="00583948"/>
    <w:rsid w:val="00585B93"/>
    <w:rsid w:val="00586503"/>
    <w:rsid w:val="00586781"/>
    <w:rsid w:val="00587B3B"/>
    <w:rsid w:val="005902E4"/>
    <w:rsid w:val="0059093F"/>
    <w:rsid w:val="00591724"/>
    <w:rsid w:val="005929AA"/>
    <w:rsid w:val="005952F9"/>
    <w:rsid w:val="00595594"/>
    <w:rsid w:val="0059562D"/>
    <w:rsid w:val="00595DEB"/>
    <w:rsid w:val="00596D6E"/>
    <w:rsid w:val="0059716C"/>
    <w:rsid w:val="005A1113"/>
    <w:rsid w:val="005A3EF9"/>
    <w:rsid w:val="005A5E27"/>
    <w:rsid w:val="005A6C72"/>
    <w:rsid w:val="005A7072"/>
    <w:rsid w:val="005B083E"/>
    <w:rsid w:val="005B0ED8"/>
    <w:rsid w:val="005B1DF3"/>
    <w:rsid w:val="005B1E7F"/>
    <w:rsid w:val="005B2522"/>
    <w:rsid w:val="005B3898"/>
    <w:rsid w:val="005B49A0"/>
    <w:rsid w:val="005B4CAA"/>
    <w:rsid w:val="005B59F2"/>
    <w:rsid w:val="005B70AB"/>
    <w:rsid w:val="005B7167"/>
    <w:rsid w:val="005B75E0"/>
    <w:rsid w:val="005B76BA"/>
    <w:rsid w:val="005C0521"/>
    <w:rsid w:val="005C0AD4"/>
    <w:rsid w:val="005C226B"/>
    <w:rsid w:val="005C22A1"/>
    <w:rsid w:val="005C56E5"/>
    <w:rsid w:val="005C579B"/>
    <w:rsid w:val="005C68F1"/>
    <w:rsid w:val="005C71B5"/>
    <w:rsid w:val="005D03D1"/>
    <w:rsid w:val="005D101B"/>
    <w:rsid w:val="005D160C"/>
    <w:rsid w:val="005D33EA"/>
    <w:rsid w:val="005D4C74"/>
    <w:rsid w:val="005D4DCD"/>
    <w:rsid w:val="005D5F6C"/>
    <w:rsid w:val="005E2156"/>
    <w:rsid w:val="005E2A34"/>
    <w:rsid w:val="005E2AD5"/>
    <w:rsid w:val="005E36DB"/>
    <w:rsid w:val="005E38AA"/>
    <w:rsid w:val="005E5FC3"/>
    <w:rsid w:val="005E6437"/>
    <w:rsid w:val="005F0370"/>
    <w:rsid w:val="005F337B"/>
    <w:rsid w:val="005F3B50"/>
    <w:rsid w:val="005F4AF8"/>
    <w:rsid w:val="005F5185"/>
    <w:rsid w:val="005F589E"/>
    <w:rsid w:val="00602049"/>
    <w:rsid w:val="006027F1"/>
    <w:rsid w:val="00604C83"/>
    <w:rsid w:val="00605F0E"/>
    <w:rsid w:val="00610134"/>
    <w:rsid w:val="00610623"/>
    <w:rsid w:val="00611D32"/>
    <w:rsid w:val="00612658"/>
    <w:rsid w:val="00616A83"/>
    <w:rsid w:val="00616B82"/>
    <w:rsid w:val="00616EA0"/>
    <w:rsid w:val="0061784D"/>
    <w:rsid w:val="00617AE7"/>
    <w:rsid w:val="0062151C"/>
    <w:rsid w:val="00623B48"/>
    <w:rsid w:val="00624991"/>
    <w:rsid w:val="00625162"/>
    <w:rsid w:val="006252AE"/>
    <w:rsid w:val="00625F3D"/>
    <w:rsid w:val="00626893"/>
    <w:rsid w:val="00626F2B"/>
    <w:rsid w:val="00630415"/>
    <w:rsid w:val="0063151A"/>
    <w:rsid w:val="006334A7"/>
    <w:rsid w:val="00633C9B"/>
    <w:rsid w:val="00636B6C"/>
    <w:rsid w:val="00636D07"/>
    <w:rsid w:val="0063786E"/>
    <w:rsid w:val="00637AA8"/>
    <w:rsid w:val="00637EDE"/>
    <w:rsid w:val="00640A6E"/>
    <w:rsid w:val="00641BA0"/>
    <w:rsid w:val="006447C9"/>
    <w:rsid w:val="00645872"/>
    <w:rsid w:val="00645BC1"/>
    <w:rsid w:val="00646427"/>
    <w:rsid w:val="0064709A"/>
    <w:rsid w:val="00647618"/>
    <w:rsid w:val="00651378"/>
    <w:rsid w:val="006536CD"/>
    <w:rsid w:val="00654577"/>
    <w:rsid w:val="00656171"/>
    <w:rsid w:val="00656B52"/>
    <w:rsid w:val="0066272D"/>
    <w:rsid w:val="00662AF0"/>
    <w:rsid w:val="00666779"/>
    <w:rsid w:val="00667184"/>
    <w:rsid w:val="006675F0"/>
    <w:rsid w:val="00670542"/>
    <w:rsid w:val="0067154A"/>
    <w:rsid w:val="0067307A"/>
    <w:rsid w:val="00673C5B"/>
    <w:rsid w:val="006747BC"/>
    <w:rsid w:val="00674AF7"/>
    <w:rsid w:val="0067563F"/>
    <w:rsid w:val="0067750D"/>
    <w:rsid w:val="00681624"/>
    <w:rsid w:val="00685FAE"/>
    <w:rsid w:val="0068792D"/>
    <w:rsid w:val="006900BC"/>
    <w:rsid w:val="0069279C"/>
    <w:rsid w:val="006927E7"/>
    <w:rsid w:val="006948A6"/>
    <w:rsid w:val="00695AE8"/>
    <w:rsid w:val="006965D1"/>
    <w:rsid w:val="00697676"/>
    <w:rsid w:val="006A13ED"/>
    <w:rsid w:val="006A1892"/>
    <w:rsid w:val="006A1B72"/>
    <w:rsid w:val="006A2981"/>
    <w:rsid w:val="006A41AB"/>
    <w:rsid w:val="006A4473"/>
    <w:rsid w:val="006A4F13"/>
    <w:rsid w:val="006A5BC9"/>
    <w:rsid w:val="006A6AA7"/>
    <w:rsid w:val="006B05B0"/>
    <w:rsid w:val="006B0B6D"/>
    <w:rsid w:val="006B103A"/>
    <w:rsid w:val="006B1A02"/>
    <w:rsid w:val="006B2045"/>
    <w:rsid w:val="006B256A"/>
    <w:rsid w:val="006B2883"/>
    <w:rsid w:val="006B2BC5"/>
    <w:rsid w:val="006B4746"/>
    <w:rsid w:val="006B57AA"/>
    <w:rsid w:val="006C39A8"/>
    <w:rsid w:val="006C4014"/>
    <w:rsid w:val="006C5ABB"/>
    <w:rsid w:val="006C5CB5"/>
    <w:rsid w:val="006D0FA7"/>
    <w:rsid w:val="006D1168"/>
    <w:rsid w:val="006D271F"/>
    <w:rsid w:val="006D31B1"/>
    <w:rsid w:val="006D32BE"/>
    <w:rsid w:val="006D4A61"/>
    <w:rsid w:val="006D6946"/>
    <w:rsid w:val="006D6EFE"/>
    <w:rsid w:val="006D708B"/>
    <w:rsid w:val="006E020A"/>
    <w:rsid w:val="006E055B"/>
    <w:rsid w:val="006E0EA1"/>
    <w:rsid w:val="006E1AD8"/>
    <w:rsid w:val="006E30EB"/>
    <w:rsid w:val="006E3351"/>
    <w:rsid w:val="006E3D96"/>
    <w:rsid w:val="006E5A77"/>
    <w:rsid w:val="006E62B2"/>
    <w:rsid w:val="006E77C2"/>
    <w:rsid w:val="006F0087"/>
    <w:rsid w:val="006F073E"/>
    <w:rsid w:val="006F1751"/>
    <w:rsid w:val="006F2B9B"/>
    <w:rsid w:val="006F3AD7"/>
    <w:rsid w:val="006F3E95"/>
    <w:rsid w:val="006F413E"/>
    <w:rsid w:val="006F42E5"/>
    <w:rsid w:val="006F5100"/>
    <w:rsid w:val="006F6487"/>
    <w:rsid w:val="006F64D4"/>
    <w:rsid w:val="006F69A0"/>
    <w:rsid w:val="0070363F"/>
    <w:rsid w:val="007075DF"/>
    <w:rsid w:val="0071061B"/>
    <w:rsid w:val="00713A83"/>
    <w:rsid w:val="00713D25"/>
    <w:rsid w:val="00713F74"/>
    <w:rsid w:val="007140F6"/>
    <w:rsid w:val="00714E13"/>
    <w:rsid w:val="00717394"/>
    <w:rsid w:val="00721741"/>
    <w:rsid w:val="00722F0C"/>
    <w:rsid w:val="007234B9"/>
    <w:rsid w:val="00727026"/>
    <w:rsid w:val="00727903"/>
    <w:rsid w:val="00732AE6"/>
    <w:rsid w:val="00732D18"/>
    <w:rsid w:val="00732E56"/>
    <w:rsid w:val="00734DD9"/>
    <w:rsid w:val="00735959"/>
    <w:rsid w:val="00735B29"/>
    <w:rsid w:val="007379EE"/>
    <w:rsid w:val="007401ED"/>
    <w:rsid w:val="00741882"/>
    <w:rsid w:val="007423B0"/>
    <w:rsid w:val="00742672"/>
    <w:rsid w:val="0074355E"/>
    <w:rsid w:val="00744B85"/>
    <w:rsid w:val="00746476"/>
    <w:rsid w:val="00746E00"/>
    <w:rsid w:val="00747421"/>
    <w:rsid w:val="007501BC"/>
    <w:rsid w:val="00750811"/>
    <w:rsid w:val="007544A5"/>
    <w:rsid w:val="0075617F"/>
    <w:rsid w:val="00756B8D"/>
    <w:rsid w:val="00757BCF"/>
    <w:rsid w:val="00757EC1"/>
    <w:rsid w:val="00757F1C"/>
    <w:rsid w:val="00762442"/>
    <w:rsid w:val="00764ACE"/>
    <w:rsid w:val="0076643D"/>
    <w:rsid w:val="00766BA7"/>
    <w:rsid w:val="00766CF0"/>
    <w:rsid w:val="00770C65"/>
    <w:rsid w:val="00771E13"/>
    <w:rsid w:val="00772537"/>
    <w:rsid w:val="00772FEA"/>
    <w:rsid w:val="0077352C"/>
    <w:rsid w:val="00774165"/>
    <w:rsid w:val="00775E81"/>
    <w:rsid w:val="00775F74"/>
    <w:rsid w:val="00777A98"/>
    <w:rsid w:val="0078164D"/>
    <w:rsid w:val="007818C1"/>
    <w:rsid w:val="00781AA3"/>
    <w:rsid w:val="007839FC"/>
    <w:rsid w:val="00786636"/>
    <w:rsid w:val="0078790C"/>
    <w:rsid w:val="007901A6"/>
    <w:rsid w:val="007909CF"/>
    <w:rsid w:val="00791EDB"/>
    <w:rsid w:val="007929B7"/>
    <w:rsid w:val="00793220"/>
    <w:rsid w:val="007948A4"/>
    <w:rsid w:val="00795906"/>
    <w:rsid w:val="007969F1"/>
    <w:rsid w:val="00796E46"/>
    <w:rsid w:val="00797B87"/>
    <w:rsid w:val="007A0445"/>
    <w:rsid w:val="007A0BBB"/>
    <w:rsid w:val="007A1625"/>
    <w:rsid w:val="007A32F9"/>
    <w:rsid w:val="007A6698"/>
    <w:rsid w:val="007A69B7"/>
    <w:rsid w:val="007A76AA"/>
    <w:rsid w:val="007B1071"/>
    <w:rsid w:val="007B1B34"/>
    <w:rsid w:val="007B24B8"/>
    <w:rsid w:val="007B273B"/>
    <w:rsid w:val="007B332A"/>
    <w:rsid w:val="007B4BB8"/>
    <w:rsid w:val="007B4EE3"/>
    <w:rsid w:val="007B5850"/>
    <w:rsid w:val="007C03BE"/>
    <w:rsid w:val="007C061C"/>
    <w:rsid w:val="007C1674"/>
    <w:rsid w:val="007C1B4B"/>
    <w:rsid w:val="007C25C9"/>
    <w:rsid w:val="007C2D6B"/>
    <w:rsid w:val="007C38B5"/>
    <w:rsid w:val="007C39CD"/>
    <w:rsid w:val="007C3D1D"/>
    <w:rsid w:val="007C4480"/>
    <w:rsid w:val="007C4A64"/>
    <w:rsid w:val="007C4FD1"/>
    <w:rsid w:val="007D0E15"/>
    <w:rsid w:val="007D103A"/>
    <w:rsid w:val="007D6A2E"/>
    <w:rsid w:val="007D7497"/>
    <w:rsid w:val="007E191B"/>
    <w:rsid w:val="007E2851"/>
    <w:rsid w:val="007E35F5"/>
    <w:rsid w:val="007E3967"/>
    <w:rsid w:val="007E4512"/>
    <w:rsid w:val="007E48D7"/>
    <w:rsid w:val="007E5CC3"/>
    <w:rsid w:val="007E6033"/>
    <w:rsid w:val="007E6A47"/>
    <w:rsid w:val="007E6CA6"/>
    <w:rsid w:val="007E717F"/>
    <w:rsid w:val="007E7937"/>
    <w:rsid w:val="007F1205"/>
    <w:rsid w:val="007F37D4"/>
    <w:rsid w:val="007F4FF4"/>
    <w:rsid w:val="007F5CD4"/>
    <w:rsid w:val="0080075B"/>
    <w:rsid w:val="008008FE"/>
    <w:rsid w:val="00800C9D"/>
    <w:rsid w:val="0080244C"/>
    <w:rsid w:val="00802622"/>
    <w:rsid w:val="008027D2"/>
    <w:rsid w:val="00804F0E"/>
    <w:rsid w:val="008053D3"/>
    <w:rsid w:val="00805921"/>
    <w:rsid w:val="00806C59"/>
    <w:rsid w:val="008077CD"/>
    <w:rsid w:val="00810814"/>
    <w:rsid w:val="0081509D"/>
    <w:rsid w:val="0081662B"/>
    <w:rsid w:val="00817B66"/>
    <w:rsid w:val="0082027F"/>
    <w:rsid w:val="00820699"/>
    <w:rsid w:val="00820856"/>
    <w:rsid w:val="008217DC"/>
    <w:rsid w:val="0082310E"/>
    <w:rsid w:val="00826519"/>
    <w:rsid w:val="00830FB2"/>
    <w:rsid w:val="00832222"/>
    <w:rsid w:val="00832275"/>
    <w:rsid w:val="00832873"/>
    <w:rsid w:val="0083290D"/>
    <w:rsid w:val="00832D48"/>
    <w:rsid w:val="00834826"/>
    <w:rsid w:val="00834947"/>
    <w:rsid w:val="00836432"/>
    <w:rsid w:val="00837E4D"/>
    <w:rsid w:val="00840B59"/>
    <w:rsid w:val="00840C58"/>
    <w:rsid w:val="00840F0F"/>
    <w:rsid w:val="00841F40"/>
    <w:rsid w:val="0084235A"/>
    <w:rsid w:val="00842F8A"/>
    <w:rsid w:val="00844479"/>
    <w:rsid w:val="00845679"/>
    <w:rsid w:val="00845FB0"/>
    <w:rsid w:val="008463C3"/>
    <w:rsid w:val="00850935"/>
    <w:rsid w:val="008510E5"/>
    <w:rsid w:val="00852DD9"/>
    <w:rsid w:val="00855CA7"/>
    <w:rsid w:val="0085746F"/>
    <w:rsid w:val="008668C1"/>
    <w:rsid w:val="00867D04"/>
    <w:rsid w:val="00867DA1"/>
    <w:rsid w:val="00870807"/>
    <w:rsid w:val="0087204C"/>
    <w:rsid w:val="00874505"/>
    <w:rsid w:val="00876C13"/>
    <w:rsid w:val="008773E3"/>
    <w:rsid w:val="008804A7"/>
    <w:rsid w:val="008812E3"/>
    <w:rsid w:val="00882A10"/>
    <w:rsid w:val="00882D83"/>
    <w:rsid w:val="00883356"/>
    <w:rsid w:val="00884648"/>
    <w:rsid w:val="00886134"/>
    <w:rsid w:val="00886BCD"/>
    <w:rsid w:val="00887474"/>
    <w:rsid w:val="00887F2D"/>
    <w:rsid w:val="00890653"/>
    <w:rsid w:val="00892C2D"/>
    <w:rsid w:val="00893846"/>
    <w:rsid w:val="008940C2"/>
    <w:rsid w:val="00894A8C"/>
    <w:rsid w:val="00896373"/>
    <w:rsid w:val="00897DE1"/>
    <w:rsid w:val="008A18D5"/>
    <w:rsid w:val="008A32A9"/>
    <w:rsid w:val="008A409B"/>
    <w:rsid w:val="008A692C"/>
    <w:rsid w:val="008A7495"/>
    <w:rsid w:val="008A79A2"/>
    <w:rsid w:val="008A7E74"/>
    <w:rsid w:val="008B167C"/>
    <w:rsid w:val="008B3AFE"/>
    <w:rsid w:val="008B4353"/>
    <w:rsid w:val="008B46BC"/>
    <w:rsid w:val="008B7D3B"/>
    <w:rsid w:val="008C1085"/>
    <w:rsid w:val="008C17D9"/>
    <w:rsid w:val="008C4CCF"/>
    <w:rsid w:val="008C6D02"/>
    <w:rsid w:val="008C7903"/>
    <w:rsid w:val="008D1306"/>
    <w:rsid w:val="008D3378"/>
    <w:rsid w:val="008D40F9"/>
    <w:rsid w:val="008D57CB"/>
    <w:rsid w:val="008D7295"/>
    <w:rsid w:val="008E0C36"/>
    <w:rsid w:val="008E13D3"/>
    <w:rsid w:val="008E173E"/>
    <w:rsid w:val="008E1BE1"/>
    <w:rsid w:val="008E20D3"/>
    <w:rsid w:val="008E457B"/>
    <w:rsid w:val="008E465D"/>
    <w:rsid w:val="008E59DF"/>
    <w:rsid w:val="008E7213"/>
    <w:rsid w:val="008F0D0A"/>
    <w:rsid w:val="008F1610"/>
    <w:rsid w:val="008F1B8C"/>
    <w:rsid w:val="008F1C3B"/>
    <w:rsid w:val="008F21CC"/>
    <w:rsid w:val="008F7FC8"/>
    <w:rsid w:val="0090201C"/>
    <w:rsid w:val="00902533"/>
    <w:rsid w:val="0090289C"/>
    <w:rsid w:val="00902FB8"/>
    <w:rsid w:val="00903738"/>
    <w:rsid w:val="00907BF5"/>
    <w:rsid w:val="00914DAC"/>
    <w:rsid w:val="009158C6"/>
    <w:rsid w:val="009165C4"/>
    <w:rsid w:val="00921B57"/>
    <w:rsid w:val="00922071"/>
    <w:rsid w:val="0092251E"/>
    <w:rsid w:val="0092629B"/>
    <w:rsid w:val="009268A6"/>
    <w:rsid w:val="00930D73"/>
    <w:rsid w:val="00932BB6"/>
    <w:rsid w:val="00932FB8"/>
    <w:rsid w:val="00934264"/>
    <w:rsid w:val="00934285"/>
    <w:rsid w:val="00934691"/>
    <w:rsid w:val="00940175"/>
    <w:rsid w:val="009407D9"/>
    <w:rsid w:val="00942C01"/>
    <w:rsid w:val="00943EEC"/>
    <w:rsid w:val="009440AF"/>
    <w:rsid w:val="009446CC"/>
    <w:rsid w:val="00946D41"/>
    <w:rsid w:val="00947C69"/>
    <w:rsid w:val="00947F3A"/>
    <w:rsid w:val="00947FC7"/>
    <w:rsid w:val="00952DCD"/>
    <w:rsid w:val="009530C1"/>
    <w:rsid w:val="00953DF8"/>
    <w:rsid w:val="0095607D"/>
    <w:rsid w:val="009608B1"/>
    <w:rsid w:val="00960A91"/>
    <w:rsid w:val="0096284B"/>
    <w:rsid w:val="00962F0E"/>
    <w:rsid w:val="009647B5"/>
    <w:rsid w:val="009653EC"/>
    <w:rsid w:val="009709C2"/>
    <w:rsid w:val="009719F4"/>
    <w:rsid w:val="00972986"/>
    <w:rsid w:val="00973602"/>
    <w:rsid w:val="0097377D"/>
    <w:rsid w:val="00973E47"/>
    <w:rsid w:val="00974DFE"/>
    <w:rsid w:val="009765ED"/>
    <w:rsid w:val="0097677F"/>
    <w:rsid w:val="00977F21"/>
    <w:rsid w:val="00980891"/>
    <w:rsid w:val="009843ED"/>
    <w:rsid w:val="00984432"/>
    <w:rsid w:val="00985147"/>
    <w:rsid w:val="009877B7"/>
    <w:rsid w:val="0099051F"/>
    <w:rsid w:val="00990730"/>
    <w:rsid w:val="0099162D"/>
    <w:rsid w:val="00991802"/>
    <w:rsid w:val="009920E4"/>
    <w:rsid w:val="00993657"/>
    <w:rsid w:val="009936CA"/>
    <w:rsid w:val="00994D17"/>
    <w:rsid w:val="0099743A"/>
    <w:rsid w:val="009A1026"/>
    <w:rsid w:val="009A1338"/>
    <w:rsid w:val="009A1898"/>
    <w:rsid w:val="009A234A"/>
    <w:rsid w:val="009A309F"/>
    <w:rsid w:val="009A3881"/>
    <w:rsid w:val="009A48F5"/>
    <w:rsid w:val="009A7345"/>
    <w:rsid w:val="009B1EB6"/>
    <w:rsid w:val="009B2A42"/>
    <w:rsid w:val="009B3321"/>
    <w:rsid w:val="009B3692"/>
    <w:rsid w:val="009B666B"/>
    <w:rsid w:val="009C0D9C"/>
    <w:rsid w:val="009C1360"/>
    <w:rsid w:val="009C13BD"/>
    <w:rsid w:val="009C2B8F"/>
    <w:rsid w:val="009C3875"/>
    <w:rsid w:val="009C3940"/>
    <w:rsid w:val="009C43C5"/>
    <w:rsid w:val="009C79B9"/>
    <w:rsid w:val="009C7C6F"/>
    <w:rsid w:val="009D0D3C"/>
    <w:rsid w:val="009D16A4"/>
    <w:rsid w:val="009D517C"/>
    <w:rsid w:val="009D5EFB"/>
    <w:rsid w:val="009D7371"/>
    <w:rsid w:val="009D7DDA"/>
    <w:rsid w:val="009E068B"/>
    <w:rsid w:val="009E2243"/>
    <w:rsid w:val="009E3755"/>
    <w:rsid w:val="009E3A24"/>
    <w:rsid w:val="009E44A5"/>
    <w:rsid w:val="009E4BFA"/>
    <w:rsid w:val="009E587C"/>
    <w:rsid w:val="009E5D56"/>
    <w:rsid w:val="009F043D"/>
    <w:rsid w:val="009F1488"/>
    <w:rsid w:val="009F3489"/>
    <w:rsid w:val="009F4B92"/>
    <w:rsid w:val="009F4DF0"/>
    <w:rsid w:val="009F74A9"/>
    <w:rsid w:val="009F7B59"/>
    <w:rsid w:val="00A00160"/>
    <w:rsid w:val="00A0087B"/>
    <w:rsid w:val="00A00B0D"/>
    <w:rsid w:val="00A00BB1"/>
    <w:rsid w:val="00A0138A"/>
    <w:rsid w:val="00A0166B"/>
    <w:rsid w:val="00A037D1"/>
    <w:rsid w:val="00A03D76"/>
    <w:rsid w:val="00A05950"/>
    <w:rsid w:val="00A062CA"/>
    <w:rsid w:val="00A11B9A"/>
    <w:rsid w:val="00A14D75"/>
    <w:rsid w:val="00A15572"/>
    <w:rsid w:val="00A16431"/>
    <w:rsid w:val="00A16ACD"/>
    <w:rsid w:val="00A16D82"/>
    <w:rsid w:val="00A21876"/>
    <w:rsid w:val="00A2194D"/>
    <w:rsid w:val="00A22FFD"/>
    <w:rsid w:val="00A237BF"/>
    <w:rsid w:val="00A2608D"/>
    <w:rsid w:val="00A261DB"/>
    <w:rsid w:val="00A273FC"/>
    <w:rsid w:val="00A30FEB"/>
    <w:rsid w:val="00A31DF6"/>
    <w:rsid w:val="00A322A9"/>
    <w:rsid w:val="00A34C4F"/>
    <w:rsid w:val="00A4017E"/>
    <w:rsid w:val="00A40BEE"/>
    <w:rsid w:val="00A40EE0"/>
    <w:rsid w:val="00A47005"/>
    <w:rsid w:val="00A514FB"/>
    <w:rsid w:val="00A5439C"/>
    <w:rsid w:val="00A5467A"/>
    <w:rsid w:val="00A54A48"/>
    <w:rsid w:val="00A56BC0"/>
    <w:rsid w:val="00A57036"/>
    <w:rsid w:val="00A60781"/>
    <w:rsid w:val="00A6257C"/>
    <w:rsid w:val="00A63A89"/>
    <w:rsid w:val="00A643DD"/>
    <w:rsid w:val="00A66D97"/>
    <w:rsid w:val="00A67678"/>
    <w:rsid w:val="00A71BB5"/>
    <w:rsid w:val="00A72E3B"/>
    <w:rsid w:val="00A7511D"/>
    <w:rsid w:val="00A75EAB"/>
    <w:rsid w:val="00A76DA6"/>
    <w:rsid w:val="00A8096E"/>
    <w:rsid w:val="00A8237C"/>
    <w:rsid w:val="00A8301C"/>
    <w:rsid w:val="00A842AE"/>
    <w:rsid w:val="00A84F9E"/>
    <w:rsid w:val="00A850A0"/>
    <w:rsid w:val="00A87A8D"/>
    <w:rsid w:val="00A90C4B"/>
    <w:rsid w:val="00A90D43"/>
    <w:rsid w:val="00A93AED"/>
    <w:rsid w:val="00A93D6D"/>
    <w:rsid w:val="00A941D5"/>
    <w:rsid w:val="00A9428F"/>
    <w:rsid w:val="00A94B3D"/>
    <w:rsid w:val="00AA2457"/>
    <w:rsid w:val="00AA330E"/>
    <w:rsid w:val="00AA3F5D"/>
    <w:rsid w:val="00AA72BA"/>
    <w:rsid w:val="00AB025B"/>
    <w:rsid w:val="00AB2E43"/>
    <w:rsid w:val="00AB32EC"/>
    <w:rsid w:val="00AB681E"/>
    <w:rsid w:val="00AB6AD9"/>
    <w:rsid w:val="00AB7170"/>
    <w:rsid w:val="00AC0F56"/>
    <w:rsid w:val="00AC1961"/>
    <w:rsid w:val="00AC3D93"/>
    <w:rsid w:val="00AC4B2A"/>
    <w:rsid w:val="00AC5140"/>
    <w:rsid w:val="00AC5738"/>
    <w:rsid w:val="00AC606D"/>
    <w:rsid w:val="00AC65D4"/>
    <w:rsid w:val="00AD0256"/>
    <w:rsid w:val="00AD2F98"/>
    <w:rsid w:val="00AD56DA"/>
    <w:rsid w:val="00AD64FD"/>
    <w:rsid w:val="00AD6788"/>
    <w:rsid w:val="00AD6AAF"/>
    <w:rsid w:val="00AD6B3B"/>
    <w:rsid w:val="00AE0FF6"/>
    <w:rsid w:val="00AE1193"/>
    <w:rsid w:val="00AE7036"/>
    <w:rsid w:val="00AE7A74"/>
    <w:rsid w:val="00AF1EC8"/>
    <w:rsid w:val="00AF40D8"/>
    <w:rsid w:val="00AF58A5"/>
    <w:rsid w:val="00AF6D51"/>
    <w:rsid w:val="00B02306"/>
    <w:rsid w:val="00B02B82"/>
    <w:rsid w:val="00B034B0"/>
    <w:rsid w:val="00B043A8"/>
    <w:rsid w:val="00B05984"/>
    <w:rsid w:val="00B074AD"/>
    <w:rsid w:val="00B10161"/>
    <w:rsid w:val="00B12967"/>
    <w:rsid w:val="00B12C1E"/>
    <w:rsid w:val="00B13511"/>
    <w:rsid w:val="00B13EFF"/>
    <w:rsid w:val="00B13F00"/>
    <w:rsid w:val="00B15E99"/>
    <w:rsid w:val="00B169C9"/>
    <w:rsid w:val="00B20351"/>
    <w:rsid w:val="00B221B8"/>
    <w:rsid w:val="00B24EC9"/>
    <w:rsid w:val="00B26067"/>
    <w:rsid w:val="00B26DA4"/>
    <w:rsid w:val="00B30BDB"/>
    <w:rsid w:val="00B3307E"/>
    <w:rsid w:val="00B336EA"/>
    <w:rsid w:val="00B33F04"/>
    <w:rsid w:val="00B350AC"/>
    <w:rsid w:val="00B35F9A"/>
    <w:rsid w:val="00B362F3"/>
    <w:rsid w:val="00B3693D"/>
    <w:rsid w:val="00B411C7"/>
    <w:rsid w:val="00B42743"/>
    <w:rsid w:val="00B465EB"/>
    <w:rsid w:val="00B46C9D"/>
    <w:rsid w:val="00B478AA"/>
    <w:rsid w:val="00B50238"/>
    <w:rsid w:val="00B50E3F"/>
    <w:rsid w:val="00B51684"/>
    <w:rsid w:val="00B5173F"/>
    <w:rsid w:val="00B53020"/>
    <w:rsid w:val="00B54B0D"/>
    <w:rsid w:val="00B54FE1"/>
    <w:rsid w:val="00B55F07"/>
    <w:rsid w:val="00B5665A"/>
    <w:rsid w:val="00B57436"/>
    <w:rsid w:val="00B57D2E"/>
    <w:rsid w:val="00B57E9C"/>
    <w:rsid w:val="00B60AC9"/>
    <w:rsid w:val="00B60C6C"/>
    <w:rsid w:val="00B63547"/>
    <w:rsid w:val="00B63A0A"/>
    <w:rsid w:val="00B63CF6"/>
    <w:rsid w:val="00B6516E"/>
    <w:rsid w:val="00B652F1"/>
    <w:rsid w:val="00B6707F"/>
    <w:rsid w:val="00B72622"/>
    <w:rsid w:val="00B731CF"/>
    <w:rsid w:val="00B73C7E"/>
    <w:rsid w:val="00B74D80"/>
    <w:rsid w:val="00B76306"/>
    <w:rsid w:val="00B76896"/>
    <w:rsid w:val="00B778B2"/>
    <w:rsid w:val="00B817A3"/>
    <w:rsid w:val="00B8320C"/>
    <w:rsid w:val="00B8327F"/>
    <w:rsid w:val="00B84424"/>
    <w:rsid w:val="00B84915"/>
    <w:rsid w:val="00B85CD2"/>
    <w:rsid w:val="00B85EAF"/>
    <w:rsid w:val="00B8746D"/>
    <w:rsid w:val="00B91F4A"/>
    <w:rsid w:val="00B92F46"/>
    <w:rsid w:val="00B9559D"/>
    <w:rsid w:val="00B962D0"/>
    <w:rsid w:val="00B97665"/>
    <w:rsid w:val="00BA03C8"/>
    <w:rsid w:val="00BA0962"/>
    <w:rsid w:val="00BA150E"/>
    <w:rsid w:val="00BA513C"/>
    <w:rsid w:val="00BA69BC"/>
    <w:rsid w:val="00BA7655"/>
    <w:rsid w:val="00BB09B5"/>
    <w:rsid w:val="00BB321F"/>
    <w:rsid w:val="00BB4667"/>
    <w:rsid w:val="00BB599D"/>
    <w:rsid w:val="00BB5B58"/>
    <w:rsid w:val="00BB5E81"/>
    <w:rsid w:val="00BB5E88"/>
    <w:rsid w:val="00BB5FBB"/>
    <w:rsid w:val="00BB67AB"/>
    <w:rsid w:val="00BB745F"/>
    <w:rsid w:val="00BB78B2"/>
    <w:rsid w:val="00BC114F"/>
    <w:rsid w:val="00BC1410"/>
    <w:rsid w:val="00BC201B"/>
    <w:rsid w:val="00BC3128"/>
    <w:rsid w:val="00BC34C0"/>
    <w:rsid w:val="00BC3E80"/>
    <w:rsid w:val="00BC6602"/>
    <w:rsid w:val="00BC775C"/>
    <w:rsid w:val="00BD20A4"/>
    <w:rsid w:val="00BD297E"/>
    <w:rsid w:val="00BD2E65"/>
    <w:rsid w:val="00BD34A6"/>
    <w:rsid w:val="00BD58CA"/>
    <w:rsid w:val="00BD7C26"/>
    <w:rsid w:val="00BE0835"/>
    <w:rsid w:val="00BE10CC"/>
    <w:rsid w:val="00BE1137"/>
    <w:rsid w:val="00BE1812"/>
    <w:rsid w:val="00BE23C2"/>
    <w:rsid w:val="00BE2547"/>
    <w:rsid w:val="00BE4DBE"/>
    <w:rsid w:val="00BE7484"/>
    <w:rsid w:val="00BF0FF8"/>
    <w:rsid w:val="00BF21A5"/>
    <w:rsid w:val="00BF3637"/>
    <w:rsid w:val="00BF3E1B"/>
    <w:rsid w:val="00BF4C61"/>
    <w:rsid w:val="00BF5426"/>
    <w:rsid w:val="00BF63FD"/>
    <w:rsid w:val="00BF69E8"/>
    <w:rsid w:val="00BF726F"/>
    <w:rsid w:val="00BF7CF6"/>
    <w:rsid w:val="00C029C1"/>
    <w:rsid w:val="00C0662A"/>
    <w:rsid w:val="00C075F7"/>
    <w:rsid w:val="00C07F35"/>
    <w:rsid w:val="00C1241A"/>
    <w:rsid w:val="00C13EB0"/>
    <w:rsid w:val="00C14173"/>
    <w:rsid w:val="00C15347"/>
    <w:rsid w:val="00C161F9"/>
    <w:rsid w:val="00C162F6"/>
    <w:rsid w:val="00C17E63"/>
    <w:rsid w:val="00C21C93"/>
    <w:rsid w:val="00C22B7D"/>
    <w:rsid w:val="00C25FC6"/>
    <w:rsid w:val="00C27B1F"/>
    <w:rsid w:val="00C31082"/>
    <w:rsid w:val="00C32F9F"/>
    <w:rsid w:val="00C342FC"/>
    <w:rsid w:val="00C348E3"/>
    <w:rsid w:val="00C34953"/>
    <w:rsid w:val="00C34B66"/>
    <w:rsid w:val="00C367D8"/>
    <w:rsid w:val="00C36B0C"/>
    <w:rsid w:val="00C40F6B"/>
    <w:rsid w:val="00C4146C"/>
    <w:rsid w:val="00C42DEC"/>
    <w:rsid w:val="00C4375C"/>
    <w:rsid w:val="00C43E2E"/>
    <w:rsid w:val="00C44572"/>
    <w:rsid w:val="00C44CDA"/>
    <w:rsid w:val="00C51B1C"/>
    <w:rsid w:val="00C51E5F"/>
    <w:rsid w:val="00C52E93"/>
    <w:rsid w:val="00C53275"/>
    <w:rsid w:val="00C542D4"/>
    <w:rsid w:val="00C546EE"/>
    <w:rsid w:val="00C567DB"/>
    <w:rsid w:val="00C573D7"/>
    <w:rsid w:val="00C61653"/>
    <w:rsid w:val="00C65D4D"/>
    <w:rsid w:val="00C65D85"/>
    <w:rsid w:val="00C65EE8"/>
    <w:rsid w:val="00C675E6"/>
    <w:rsid w:val="00C67F90"/>
    <w:rsid w:val="00C722BF"/>
    <w:rsid w:val="00C759C0"/>
    <w:rsid w:val="00C80E11"/>
    <w:rsid w:val="00C82F41"/>
    <w:rsid w:val="00C83A0F"/>
    <w:rsid w:val="00C85EF3"/>
    <w:rsid w:val="00C8659B"/>
    <w:rsid w:val="00C91729"/>
    <w:rsid w:val="00C91DA8"/>
    <w:rsid w:val="00C92BAA"/>
    <w:rsid w:val="00C92D24"/>
    <w:rsid w:val="00C95E69"/>
    <w:rsid w:val="00C9765B"/>
    <w:rsid w:val="00C97C42"/>
    <w:rsid w:val="00CA1524"/>
    <w:rsid w:val="00CA5881"/>
    <w:rsid w:val="00CA5E74"/>
    <w:rsid w:val="00CB0300"/>
    <w:rsid w:val="00CB497F"/>
    <w:rsid w:val="00CB4A87"/>
    <w:rsid w:val="00CB5740"/>
    <w:rsid w:val="00CB582A"/>
    <w:rsid w:val="00CB5EC7"/>
    <w:rsid w:val="00CC070E"/>
    <w:rsid w:val="00CC0FEA"/>
    <w:rsid w:val="00CC3C89"/>
    <w:rsid w:val="00CC4377"/>
    <w:rsid w:val="00CC694C"/>
    <w:rsid w:val="00CD013A"/>
    <w:rsid w:val="00CD01FC"/>
    <w:rsid w:val="00CD2179"/>
    <w:rsid w:val="00CD49EA"/>
    <w:rsid w:val="00CD6B1D"/>
    <w:rsid w:val="00CE0162"/>
    <w:rsid w:val="00CE0A79"/>
    <w:rsid w:val="00CE0CFF"/>
    <w:rsid w:val="00CE1820"/>
    <w:rsid w:val="00CE23BE"/>
    <w:rsid w:val="00CE36D6"/>
    <w:rsid w:val="00CE3768"/>
    <w:rsid w:val="00CE3892"/>
    <w:rsid w:val="00CE5C28"/>
    <w:rsid w:val="00CE72F9"/>
    <w:rsid w:val="00CF394E"/>
    <w:rsid w:val="00CF3D33"/>
    <w:rsid w:val="00CF3DE8"/>
    <w:rsid w:val="00CF5D92"/>
    <w:rsid w:val="00CF674F"/>
    <w:rsid w:val="00CF6786"/>
    <w:rsid w:val="00D00CD6"/>
    <w:rsid w:val="00D01628"/>
    <w:rsid w:val="00D03C64"/>
    <w:rsid w:val="00D0456E"/>
    <w:rsid w:val="00D0669A"/>
    <w:rsid w:val="00D06C72"/>
    <w:rsid w:val="00D07F8B"/>
    <w:rsid w:val="00D1015C"/>
    <w:rsid w:val="00D108C8"/>
    <w:rsid w:val="00D137C2"/>
    <w:rsid w:val="00D16477"/>
    <w:rsid w:val="00D20F99"/>
    <w:rsid w:val="00D217DC"/>
    <w:rsid w:val="00D22AA8"/>
    <w:rsid w:val="00D2374F"/>
    <w:rsid w:val="00D23F09"/>
    <w:rsid w:val="00D24940"/>
    <w:rsid w:val="00D25B00"/>
    <w:rsid w:val="00D25D1E"/>
    <w:rsid w:val="00D26735"/>
    <w:rsid w:val="00D27F7B"/>
    <w:rsid w:val="00D30966"/>
    <w:rsid w:val="00D35AEA"/>
    <w:rsid w:val="00D36B9B"/>
    <w:rsid w:val="00D370A4"/>
    <w:rsid w:val="00D40051"/>
    <w:rsid w:val="00D41883"/>
    <w:rsid w:val="00D42885"/>
    <w:rsid w:val="00D428F7"/>
    <w:rsid w:val="00D4418C"/>
    <w:rsid w:val="00D44319"/>
    <w:rsid w:val="00D44882"/>
    <w:rsid w:val="00D45E08"/>
    <w:rsid w:val="00D4635A"/>
    <w:rsid w:val="00D46379"/>
    <w:rsid w:val="00D466A3"/>
    <w:rsid w:val="00D5035C"/>
    <w:rsid w:val="00D52D38"/>
    <w:rsid w:val="00D5357B"/>
    <w:rsid w:val="00D54574"/>
    <w:rsid w:val="00D54FDE"/>
    <w:rsid w:val="00D550DB"/>
    <w:rsid w:val="00D560C7"/>
    <w:rsid w:val="00D57EC8"/>
    <w:rsid w:val="00D60781"/>
    <w:rsid w:val="00D6087E"/>
    <w:rsid w:val="00D6100A"/>
    <w:rsid w:val="00D6219F"/>
    <w:rsid w:val="00D65504"/>
    <w:rsid w:val="00D6627B"/>
    <w:rsid w:val="00D67987"/>
    <w:rsid w:val="00D67BCF"/>
    <w:rsid w:val="00D67F3B"/>
    <w:rsid w:val="00D70CBB"/>
    <w:rsid w:val="00D70E07"/>
    <w:rsid w:val="00D7263E"/>
    <w:rsid w:val="00D73482"/>
    <w:rsid w:val="00D74A9D"/>
    <w:rsid w:val="00D74CE8"/>
    <w:rsid w:val="00D8052F"/>
    <w:rsid w:val="00D80DAF"/>
    <w:rsid w:val="00D81142"/>
    <w:rsid w:val="00D814BF"/>
    <w:rsid w:val="00D824BC"/>
    <w:rsid w:val="00D84EA9"/>
    <w:rsid w:val="00D85635"/>
    <w:rsid w:val="00D85907"/>
    <w:rsid w:val="00D85B87"/>
    <w:rsid w:val="00D8681B"/>
    <w:rsid w:val="00D91C63"/>
    <w:rsid w:val="00D9548A"/>
    <w:rsid w:val="00D95C80"/>
    <w:rsid w:val="00D95D78"/>
    <w:rsid w:val="00D96517"/>
    <w:rsid w:val="00D96977"/>
    <w:rsid w:val="00D96A48"/>
    <w:rsid w:val="00D96D91"/>
    <w:rsid w:val="00D97DA4"/>
    <w:rsid w:val="00D97F98"/>
    <w:rsid w:val="00DA0114"/>
    <w:rsid w:val="00DA1967"/>
    <w:rsid w:val="00DA1FE7"/>
    <w:rsid w:val="00DA28D5"/>
    <w:rsid w:val="00DA495D"/>
    <w:rsid w:val="00DA4F4B"/>
    <w:rsid w:val="00DA5EC8"/>
    <w:rsid w:val="00DA6933"/>
    <w:rsid w:val="00DB0F37"/>
    <w:rsid w:val="00DB10D9"/>
    <w:rsid w:val="00DB26DF"/>
    <w:rsid w:val="00DB39FE"/>
    <w:rsid w:val="00DB7340"/>
    <w:rsid w:val="00DC2351"/>
    <w:rsid w:val="00DC3867"/>
    <w:rsid w:val="00DC3FBD"/>
    <w:rsid w:val="00DC40C5"/>
    <w:rsid w:val="00DC4D1D"/>
    <w:rsid w:val="00DC6D86"/>
    <w:rsid w:val="00DD0857"/>
    <w:rsid w:val="00DD0B10"/>
    <w:rsid w:val="00DD1879"/>
    <w:rsid w:val="00DD3829"/>
    <w:rsid w:val="00DD3844"/>
    <w:rsid w:val="00DD520E"/>
    <w:rsid w:val="00DD6101"/>
    <w:rsid w:val="00DD6655"/>
    <w:rsid w:val="00DD7FA2"/>
    <w:rsid w:val="00DE2567"/>
    <w:rsid w:val="00DE405B"/>
    <w:rsid w:val="00DE4235"/>
    <w:rsid w:val="00DE42D9"/>
    <w:rsid w:val="00DE501D"/>
    <w:rsid w:val="00DE6276"/>
    <w:rsid w:val="00DE697F"/>
    <w:rsid w:val="00DE709D"/>
    <w:rsid w:val="00DF0085"/>
    <w:rsid w:val="00DF0ABF"/>
    <w:rsid w:val="00DF12AE"/>
    <w:rsid w:val="00DF5B39"/>
    <w:rsid w:val="00DF620D"/>
    <w:rsid w:val="00DF750E"/>
    <w:rsid w:val="00E01BD3"/>
    <w:rsid w:val="00E02249"/>
    <w:rsid w:val="00E03B11"/>
    <w:rsid w:val="00E065A5"/>
    <w:rsid w:val="00E06933"/>
    <w:rsid w:val="00E06A33"/>
    <w:rsid w:val="00E103C4"/>
    <w:rsid w:val="00E11385"/>
    <w:rsid w:val="00E116F8"/>
    <w:rsid w:val="00E11C4E"/>
    <w:rsid w:val="00E1231E"/>
    <w:rsid w:val="00E140C2"/>
    <w:rsid w:val="00E14A08"/>
    <w:rsid w:val="00E16460"/>
    <w:rsid w:val="00E16B8B"/>
    <w:rsid w:val="00E1722B"/>
    <w:rsid w:val="00E17437"/>
    <w:rsid w:val="00E17617"/>
    <w:rsid w:val="00E208BF"/>
    <w:rsid w:val="00E22B78"/>
    <w:rsid w:val="00E2466E"/>
    <w:rsid w:val="00E24754"/>
    <w:rsid w:val="00E247E8"/>
    <w:rsid w:val="00E253CA"/>
    <w:rsid w:val="00E25F13"/>
    <w:rsid w:val="00E25FBA"/>
    <w:rsid w:val="00E26544"/>
    <w:rsid w:val="00E303B1"/>
    <w:rsid w:val="00E30D91"/>
    <w:rsid w:val="00E329C0"/>
    <w:rsid w:val="00E32ADC"/>
    <w:rsid w:val="00E3485D"/>
    <w:rsid w:val="00E37A07"/>
    <w:rsid w:val="00E4077E"/>
    <w:rsid w:val="00E40A14"/>
    <w:rsid w:val="00E42199"/>
    <w:rsid w:val="00E423E0"/>
    <w:rsid w:val="00E46F0C"/>
    <w:rsid w:val="00E50A08"/>
    <w:rsid w:val="00E50B00"/>
    <w:rsid w:val="00E521BA"/>
    <w:rsid w:val="00E56FA6"/>
    <w:rsid w:val="00E61843"/>
    <w:rsid w:val="00E61EDE"/>
    <w:rsid w:val="00E640D4"/>
    <w:rsid w:val="00E669BD"/>
    <w:rsid w:val="00E67BFB"/>
    <w:rsid w:val="00E71F25"/>
    <w:rsid w:val="00E72E10"/>
    <w:rsid w:val="00E73D95"/>
    <w:rsid w:val="00E73E59"/>
    <w:rsid w:val="00E74E4A"/>
    <w:rsid w:val="00E7665A"/>
    <w:rsid w:val="00E76FEE"/>
    <w:rsid w:val="00E7785F"/>
    <w:rsid w:val="00E803D8"/>
    <w:rsid w:val="00E80EE2"/>
    <w:rsid w:val="00E8233C"/>
    <w:rsid w:val="00E826EE"/>
    <w:rsid w:val="00E8299E"/>
    <w:rsid w:val="00E839EE"/>
    <w:rsid w:val="00E83E28"/>
    <w:rsid w:val="00E852E7"/>
    <w:rsid w:val="00E85670"/>
    <w:rsid w:val="00E8586A"/>
    <w:rsid w:val="00E866A9"/>
    <w:rsid w:val="00E87E10"/>
    <w:rsid w:val="00E90532"/>
    <w:rsid w:val="00E91B05"/>
    <w:rsid w:val="00E91E27"/>
    <w:rsid w:val="00E9216E"/>
    <w:rsid w:val="00E93A8D"/>
    <w:rsid w:val="00E9445C"/>
    <w:rsid w:val="00E95759"/>
    <w:rsid w:val="00E9625B"/>
    <w:rsid w:val="00EA0F16"/>
    <w:rsid w:val="00EA13E1"/>
    <w:rsid w:val="00EA1C48"/>
    <w:rsid w:val="00EA1D56"/>
    <w:rsid w:val="00EA3923"/>
    <w:rsid w:val="00EA5853"/>
    <w:rsid w:val="00EA7E7F"/>
    <w:rsid w:val="00EB6239"/>
    <w:rsid w:val="00EB67E3"/>
    <w:rsid w:val="00EB7B8C"/>
    <w:rsid w:val="00EB7BA6"/>
    <w:rsid w:val="00EC1A15"/>
    <w:rsid w:val="00EC52F2"/>
    <w:rsid w:val="00EC5978"/>
    <w:rsid w:val="00EC6838"/>
    <w:rsid w:val="00EC719D"/>
    <w:rsid w:val="00EC7A1F"/>
    <w:rsid w:val="00ED1B02"/>
    <w:rsid w:val="00ED2EA3"/>
    <w:rsid w:val="00ED5C92"/>
    <w:rsid w:val="00ED5DAF"/>
    <w:rsid w:val="00EE2ACA"/>
    <w:rsid w:val="00EE3F13"/>
    <w:rsid w:val="00EE483E"/>
    <w:rsid w:val="00EE50E1"/>
    <w:rsid w:val="00EE52F0"/>
    <w:rsid w:val="00EE55B3"/>
    <w:rsid w:val="00EE6ED3"/>
    <w:rsid w:val="00EE7DB0"/>
    <w:rsid w:val="00EF0209"/>
    <w:rsid w:val="00EF0263"/>
    <w:rsid w:val="00EF0784"/>
    <w:rsid w:val="00EF0F4B"/>
    <w:rsid w:val="00EF2659"/>
    <w:rsid w:val="00EF491E"/>
    <w:rsid w:val="00EF6128"/>
    <w:rsid w:val="00F0023A"/>
    <w:rsid w:val="00F00369"/>
    <w:rsid w:val="00F02842"/>
    <w:rsid w:val="00F0287B"/>
    <w:rsid w:val="00F03B4A"/>
    <w:rsid w:val="00F0426D"/>
    <w:rsid w:val="00F04864"/>
    <w:rsid w:val="00F05595"/>
    <w:rsid w:val="00F0788E"/>
    <w:rsid w:val="00F07C07"/>
    <w:rsid w:val="00F10096"/>
    <w:rsid w:val="00F120DB"/>
    <w:rsid w:val="00F14C88"/>
    <w:rsid w:val="00F159FA"/>
    <w:rsid w:val="00F15C70"/>
    <w:rsid w:val="00F16739"/>
    <w:rsid w:val="00F179E8"/>
    <w:rsid w:val="00F23194"/>
    <w:rsid w:val="00F263F1"/>
    <w:rsid w:val="00F275FC"/>
    <w:rsid w:val="00F277E0"/>
    <w:rsid w:val="00F303B1"/>
    <w:rsid w:val="00F30D91"/>
    <w:rsid w:val="00F31899"/>
    <w:rsid w:val="00F33B74"/>
    <w:rsid w:val="00F347CD"/>
    <w:rsid w:val="00F3546E"/>
    <w:rsid w:val="00F355D8"/>
    <w:rsid w:val="00F361C4"/>
    <w:rsid w:val="00F37044"/>
    <w:rsid w:val="00F3770A"/>
    <w:rsid w:val="00F41485"/>
    <w:rsid w:val="00F42050"/>
    <w:rsid w:val="00F42AD7"/>
    <w:rsid w:val="00F46C7D"/>
    <w:rsid w:val="00F474BC"/>
    <w:rsid w:val="00F50A84"/>
    <w:rsid w:val="00F516DF"/>
    <w:rsid w:val="00F51AB6"/>
    <w:rsid w:val="00F52178"/>
    <w:rsid w:val="00F52577"/>
    <w:rsid w:val="00F525F6"/>
    <w:rsid w:val="00F53A70"/>
    <w:rsid w:val="00F545EE"/>
    <w:rsid w:val="00F56614"/>
    <w:rsid w:val="00F575FB"/>
    <w:rsid w:val="00F57609"/>
    <w:rsid w:val="00F61BD1"/>
    <w:rsid w:val="00F61ED7"/>
    <w:rsid w:val="00F62BDE"/>
    <w:rsid w:val="00F6305F"/>
    <w:rsid w:val="00F65372"/>
    <w:rsid w:val="00F65A17"/>
    <w:rsid w:val="00F66AA4"/>
    <w:rsid w:val="00F66AFA"/>
    <w:rsid w:val="00F67379"/>
    <w:rsid w:val="00F706D8"/>
    <w:rsid w:val="00F7243C"/>
    <w:rsid w:val="00F768F4"/>
    <w:rsid w:val="00F76A3A"/>
    <w:rsid w:val="00F77499"/>
    <w:rsid w:val="00F8356E"/>
    <w:rsid w:val="00F8416E"/>
    <w:rsid w:val="00F84923"/>
    <w:rsid w:val="00F84B15"/>
    <w:rsid w:val="00F84B81"/>
    <w:rsid w:val="00F85516"/>
    <w:rsid w:val="00F91D34"/>
    <w:rsid w:val="00F91F98"/>
    <w:rsid w:val="00F92361"/>
    <w:rsid w:val="00F92E3D"/>
    <w:rsid w:val="00F9319B"/>
    <w:rsid w:val="00F96042"/>
    <w:rsid w:val="00F96480"/>
    <w:rsid w:val="00FA0E06"/>
    <w:rsid w:val="00FA1362"/>
    <w:rsid w:val="00FA2234"/>
    <w:rsid w:val="00FA315D"/>
    <w:rsid w:val="00FA42BE"/>
    <w:rsid w:val="00FA42C9"/>
    <w:rsid w:val="00FA4545"/>
    <w:rsid w:val="00FA5F6F"/>
    <w:rsid w:val="00FB0D62"/>
    <w:rsid w:val="00FB1504"/>
    <w:rsid w:val="00FB579C"/>
    <w:rsid w:val="00FC0D0E"/>
    <w:rsid w:val="00FC196B"/>
    <w:rsid w:val="00FC1B3A"/>
    <w:rsid w:val="00FC1DF8"/>
    <w:rsid w:val="00FC50A2"/>
    <w:rsid w:val="00FC6149"/>
    <w:rsid w:val="00FC6493"/>
    <w:rsid w:val="00FD0B44"/>
    <w:rsid w:val="00FD16DC"/>
    <w:rsid w:val="00FD29C6"/>
    <w:rsid w:val="00FD2D65"/>
    <w:rsid w:val="00FD3376"/>
    <w:rsid w:val="00FD458E"/>
    <w:rsid w:val="00FD519C"/>
    <w:rsid w:val="00FD6A44"/>
    <w:rsid w:val="00FD769E"/>
    <w:rsid w:val="00FE12C7"/>
    <w:rsid w:val="00FE159E"/>
    <w:rsid w:val="00FE3387"/>
    <w:rsid w:val="00FE533D"/>
    <w:rsid w:val="00FE7191"/>
    <w:rsid w:val="00FE7275"/>
    <w:rsid w:val="00FE72B1"/>
    <w:rsid w:val="00FF1031"/>
    <w:rsid w:val="00FF130F"/>
    <w:rsid w:val="00FF1C08"/>
    <w:rsid w:val="00FF3BBA"/>
    <w:rsid w:val="00FF5CB0"/>
    <w:rsid w:val="00FF5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6E6D954-BD08-49B1-944B-1918467FF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Verdan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FB0"/>
    <w:pPr>
      <w:widowControl w:val="0"/>
      <w:spacing w:after="240" w:line="276" w:lineRule="auto"/>
    </w:pPr>
    <w:rPr>
      <w:rFonts w:ascii="Verdana" w:hAnsi="Verdana" w:cs="Verdana"/>
      <w:sz w:val="17"/>
      <w:szCs w:val="17"/>
    </w:rPr>
  </w:style>
  <w:style w:type="paragraph" w:styleId="Heading1">
    <w:name w:val="heading 1"/>
    <w:aliases w:val="Chapter Title"/>
    <w:basedOn w:val="Normal"/>
    <w:next w:val="Normal"/>
    <w:link w:val="Heading1Char"/>
    <w:qFormat/>
    <w:rsid w:val="006F69A0"/>
    <w:pPr>
      <w:keepNext/>
      <w:widowControl/>
      <w:spacing w:after="840" w:line="240" w:lineRule="auto"/>
      <w:outlineLvl w:val="0"/>
    </w:pPr>
    <w:rPr>
      <w:rFonts w:cstheme="minorBidi"/>
      <w:b/>
      <w:bCs/>
      <w:noProof/>
      <w:color w:val="1B69AA" w:themeColor="accent2"/>
      <w:sz w:val="48"/>
      <w:szCs w:val="48"/>
    </w:rPr>
  </w:style>
  <w:style w:type="paragraph" w:styleId="Heading2">
    <w:name w:val="heading 2"/>
    <w:basedOn w:val="Heading3"/>
    <w:next w:val="Normal"/>
    <w:link w:val="Heading2Char"/>
    <w:qFormat/>
    <w:rsid w:val="006F69A0"/>
    <w:pPr>
      <w:outlineLvl w:val="1"/>
    </w:pPr>
    <w:rPr>
      <w:color w:val="auto"/>
      <w:sz w:val="20"/>
      <w:szCs w:val="20"/>
    </w:rPr>
  </w:style>
  <w:style w:type="paragraph" w:styleId="Heading3">
    <w:name w:val="heading 3"/>
    <w:basedOn w:val="Normal"/>
    <w:next w:val="Normal"/>
    <w:link w:val="Heading3Char"/>
    <w:qFormat/>
    <w:rsid w:val="006F69A0"/>
    <w:pPr>
      <w:keepNext/>
      <w:outlineLvl w:val="2"/>
    </w:pPr>
    <w:rPr>
      <w:b/>
      <w:color w:val="1B69AA" w:themeColor="accent2"/>
    </w:rPr>
  </w:style>
  <w:style w:type="paragraph" w:styleId="Heading4">
    <w:name w:val="heading 4"/>
    <w:basedOn w:val="Normal"/>
    <w:next w:val="Normal"/>
    <w:link w:val="Heading4Char"/>
    <w:semiHidden/>
    <w:qFormat/>
    <w:rsid w:val="00A47005"/>
    <w:pPr>
      <w:outlineLvl w:val="3"/>
    </w:pPr>
    <w:rPr>
      <w:b/>
    </w:rPr>
  </w:style>
  <w:style w:type="paragraph" w:styleId="Heading5">
    <w:name w:val="heading 5"/>
    <w:basedOn w:val="Normal"/>
    <w:next w:val="Normal"/>
    <w:link w:val="Heading5Char"/>
    <w:semiHidden/>
    <w:rsid w:val="00775E81"/>
    <w:pPr>
      <w:outlineLvl w:val="4"/>
    </w:pPr>
    <w:rPr>
      <w:b/>
    </w:rPr>
  </w:style>
  <w:style w:type="paragraph" w:styleId="Heading6">
    <w:name w:val="heading 6"/>
    <w:basedOn w:val="Normal"/>
    <w:next w:val="Normal"/>
    <w:link w:val="Heading6Char"/>
    <w:semiHidden/>
    <w:rsid w:val="008E13D3"/>
    <w:pPr>
      <w:keepNext/>
      <w:keepLines/>
      <w:spacing w:before="200"/>
      <w:outlineLvl w:val="5"/>
    </w:pPr>
    <w:rPr>
      <w:rFonts w:asciiTheme="majorHAnsi" w:eastAsiaTheme="majorEastAsia" w:hAnsiTheme="majorHAnsi" w:cstheme="majorBidi"/>
      <w:i/>
      <w:iCs/>
      <w:color w:val="1F2831" w:themeColor="accent1" w:themeShade="7F"/>
      <w:sz w:val="18"/>
    </w:rPr>
  </w:style>
  <w:style w:type="paragraph" w:styleId="Heading7">
    <w:name w:val="heading 7"/>
    <w:basedOn w:val="Normal"/>
    <w:next w:val="Normal"/>
    <w:link w:val="Heading7Char"/>
    <w:semiHidden/>
    <w:qFormat/>
    <w:rsid w:val="008E13D3"/>
    <w:pPr>
      <w:keepNext/>
      <w:keepLines/>
      <w:spacing w:before="200"/>
      <w:outlineLvl w:val="6"/>
    </w:pPr>
    <w:rPr>
      <w:rFonts w:asciiTheme="majorHAnsi" w:eastAsiaTheme="majorEastAsia" w:hAnsiTheme="majorHAnsi" w:cstheme="majorBidi"/>
      <w:i/>
      <w:iCs/>
      <w:color w:val="404040" w:themeColor="text1" w:themeTint="BF"/>
      <w:sz w:val="18"/>
    </w:rPr>
  </w:style>
  <w:style w:type="paragraph" w:styleId="Heading8">
    <w:name w:val="heading 8"/>
    <w:basedOn w:val="Normal"/>
    <w:next w:val="Normal"/>
    <w:link w:val="Heading8Char"/>
    <w:semiHidden/>
    <w:rsid w:val="008E13D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qFormat/>
    <w:rsid w:val="008E13D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845FB0"/>
    <w:rPr>
      <w:rFonts w:ascii="Verdana" w:eastAsia="Verdana" w:hAnsi="Verdana" w:cs="Verdana"/>
      <w:b/>
      <w:sz w:val="17"/>
      <w:szCs w:val="17"/>
    </w:rPr>
  </w:style>
  <w:style w:type="paragraph" w:styleId="Subtitle">
    <w:name w:val="Subtitle"/>
    <w:basedOn w:val="Normal"/>
    <w:next w:val="Normal"/>
    <w:link w:val="SubtitleChar"/>
    <w:qFormat/>
    <w:rsid w:val="00310E44"/>
    <w:pPr>
      <w:spacing w:after="0"/>
      <w:ind w:left="72"/>
    </w:pPr>
    <w:rPr>
      <w:b/>
      <w:color w:val="3F5163" w:themeColor="accent1"/>
      <w:sz w:val="18"/>
      <w:szCs w:val="18"/>
    </w:rPr>
  </w:style>
  <w:style w:type="character" w:customStyle="1" w:styleId="SubtitleChar">
    <w:name w:val="Subtitle Char"/>
    <w:basedOn w:val="DefaultParagraphFont"/>
    <w:link w:val="Subtitle"/>
    <w:rsid w:val="00310E44"/>
    <w:rPr>
      <w:rFonts w:ascii="Verdana" w:eastAsia="Verdana" w:hAnsi="Verdana" w:cs="Verdana"/>
      <w:b/>
      <w:color w:val="3F5163" w:themeColor="accent1"/>
      <w:sz w:val="18"/>
      <w:szCs w:val="18"/>
    </w:rPr>
  </w:style>
  <w:style w:type="paragraph" w:styleId="NoSpacing">
    <w:name w:val="No Spacing"/>
    <w:basedOn w:val="Normal"/>
    <w:uiPriority w:val="1"/>
    <w:rsid w:val="00934691"/>
    <w:pPr>
      <w:spacing w:after="0"/>
    </w:pPr>
  </w:style>
  <w:style w:type="paragraph" w:customStyle="1" w:styleId="Bullet">
    <w:name w:val="Bullet"/>
    <w:basedOn w:val="Normal"/>
    <w:uiPriority w:val="1"/>
    <w:qFormat/>
    <w:rsid w:val="00DC3867"/>
    <w:pPr>
      <w:numPr>
        <w:numId w:val="31"/>
      </w:numPr>
    </w:pPr>
  </w:style>
  <w:style w:type="paragraph" w:styleId="CommentText">
    <w:name w:val="annotation text"/>
    <w:basedOn w:val="Normal"/>
    <w:link w:val="CommentTextChar"/>
    <w:uiPriority w:val="99"/>
    <w:semiHidden/>
    <w:unhideWhenUsed/>
    <w:rsid w:val="00294ADF"/>
    <w:pPr>
      <w:spacing w:line="240" w:lineRule="auto"/>
    </w:pPr>
    <w:rPr>
      <w:sz w:val="20"/>
      <w:szCs w:val="20"/>
    </w:rPr>
  </w:style>
  <w:style w:type="character" w:customStyle="1" w:styleId="CommentTextChar">
    <w:name w:val="Comment Text Char"/>
    <w:basedOn w:val="DefaultParagraphFont"/>
    <w:link w:val="CommentText"/>
    <w:uiPriority w:val="99"/>
    <w:semiHidden/>
    <w:rsid w:val="00294ADF"/>
    <w:rPr>
      <w:rFonts w:ascii="Verdana" w:eastAsia="Verdana" w:hAnsi="Verdana" w:cs="Verdana"/>
      <w:color w:val="000000" w:themeColor="text1"/>
    </w:rPr>
  </w:style>
  <w:style w:type="character" w:customStyle="1" w:styleId="Heading5Char">
    <w:name w:val="Heading 5 Char"/>
    <w:basedOn w:val="DefaultParagraphFont"/>
    <w:link w:val="Heading5"/>
    <w:semiHidden/>
    <w:rsid w:val="00845FB0"/>
    <w:rPr>
      <w:rFonts w:ascii="Verdana" w:eastAsia="Verdana" w:hAnsi="Verdana" w:cs="Verdana"/>
      <w:b/>
      <w:sz w:val="17"/>
      <w:szCs w:val="17"/>
    </w:rPr>
  </w:style>
  <w:style w:type="character" w:customStyle="1" w:styleId="Heading6Char">
    <w:name w:val="Heading 6 Char"/>
    <w:basedOn w:val="DefaultParagraphFont"/>
    <w:link w:val="Heading6"/>
    <w:semiHidden/>
    <w:rsid w:val="00845FB0"/>
    <w:rPr>
      <w:rFonts w:asciiTheme="majorHAnsi" w:eastAsiaTheme="majorEastAsia" w:hAnsiTheme="majorHAnsi" w:cstheme="majorBidi"/>
      <w:i/>
      <w:iCs/>
      <w:color w:val="1F2831" w:themeColor="accent1" w:themeShade="7F"/>
      <w:sz w:val="18"/>
      <w:szCs w:val="17"/>
    </w:rPr>
  </w:style>
  <w:style w:type="character" w:customStyle="1" w:styleId="Heading7Char">
    <w:name w:val="Heading 7 Char"/>
    <w:basedOn w:val="DefaultParagraphFont"/>
    <w:link w:val="Heading7"/>
    <w:semiHidden/>
    <w:rsid w:val="00845FB0"/>
    <w:rPr>
      <w:rFonts w:asciiTheme="majorHAnsi" w:eastAsiaTheme="majorEastAsia" w:hAnsiTheme="majorHAnsi" w:cstheme="majorBidi"/>
      <w:i/>
      <w:iCs/>
      <w:color w:val="404040" w:themeColor="text1" w:themeTint="BF"/>
      <w:sz w:val="18"/>
      <w:szCs w:val="17"/>
    </w:rPr>
  </w:style>
  <w:style w:type="character" w:customStyle="1" w:styleId="Heading8Char">
    <w:name w:val="Heading 8 Char"/>
    <w:basedOn w:val="DefaultParagraphFont"/>
    <w:link w:val="Heading8"/>
    <w:semiHidden/>
    <w:rsid w:val="00845FB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45FB0"/>
    <w:rPr>
      <w:rFonts w:asciiTheme="majorHAnsi" w:eastAsiaTheme="majorEastAsia" w:hAnsiTheme="majorHAnsi" w:cstheme="majorBidi"/>
      <w:i/>
      <w:iCs/>
      <w:color w:val="404040" w:themeColor="text1" w:themeTint="BF"/>
    </w:rPr>
  </w:style>
  <w:style w:type="character" w:customStyle="1" w:styleId="Heading1Char">
    <w:name w:val="Heading 1 Char"/>
    <w:aliases w:val="Chapter Title Char"/>
    <w:basedOn w:val="DefaultParagraphFont"/>
    <w:link w:val="Heading1"/>
    <w:rsid w:val="006F69A0"/>
    <w:rPr>
      <w:rFonts w:ascii="Verdana" w:eastAsia="Verdana" w:hAnsi="Verdana" w:cstheme="minorBidi"/>
      <w:b/>
      <w:bCs/>
      <w:noProof/>
      <w:color w:val="1B69AA" w:themeColor="accent2"/>
      <w:sz w:val="48"/>
      <w:szCs w:val="48"/>
    </w:rPr>
  </w:style>
  <w:style w:type="paragraph" w:styleId="TOCHeading">
    <w:name w:val="TOC Heading"/>
    <w:basedOn w:val="Normal"/>
    <w:next w:val="Normal"/>
    <w:uiPriority w:val="39"/>
    <w:unhideWhenUsed/>
    <w:rsid w:val="00310E44"/>
    <w:rPr>
      <w:rFonts w:eastAsiaTheme="majorEastAsia" w:cstheme="majorBidi"/>
      <w:b/>
      <w:color w:val="3F5163" w:themeColor="accent1"/>
      <w:sz w:val="48"/>
      <w:szCs w:val="48"/>
    </w:rPr>
  </w:style>
  <w:style w:type="character" w:customStyle="1" w:styleId="Heading2Char">
    <w:name w:val="Heading 2 Char"/>
    <w:basedOn w:val="DefaultParagraphFont"/>
    <w:link w:val="Heading2"/>
    <w:rsid w:val="006F69A0"/>
    <w:rPr>
      <w:rFonts w:ascii="Verdana" w:eastAsia="Verdana" w:hAnsi="Verdana" w:cs="Verdana"/>
      <w:b/>
    </w:rPr>
  </w:style>
  <w:style w:type="character" w:customStyle="1" w:styleId="Heading3Char">
    <w:name w:val="Heading 3 Char"/>
    <w:basedOn w:val="DefaultParagraphFont"/>
    <w:link w:val="Heading3"/>
    <w:rsid w:val="006F69A0"/>
    <w:rPr>
      <w:rFonts w:ascii="Verdana" w:eastAsia="Verdana" w:hAnsi="Verdana" w:cs="Verdana"/>
      <w:b/>
      <w:color w:val="1B69AA" w:themeColor="accent2"/>
      <w:sz w:val="17"/>
      <w:szCs w:val="17"/>
    </w:rPr>
  </w:style>
  <w:style w:type="paragraph" w:styleId="TOC1">
    <w:name w:val="toc 1"/>
    <w:basedOn w:val="Normal"/>
    <w:next w:val="Normal"/>
    <w:link w:val="TOC1Char"/>
    <w:uiPriority w:val="39"/>
    <w:qFormat/>
    <w:rsid w:val="002B09F2"/>
    <w:pPr>
      <w:tabs>
        <w:tab w:val="right" w:leader="dot" w:pos="7190"/>
      </w:tabs>
      <w:spacing w:before="340"/>
    </w:pPr>
    <w:rPr>
      <w:noProof/>
    </w:rPr>
  </w:style>
  <w:style w:type="character" w:customStyle="1" w:styleId="TOC1Char">
    <w:name w:val="TOC 1 Char"/>
    <w:basedOn w:val="DefaultParagraphFont"/>
    <w:link w:val="TOC1"/>
    <w:uiPriority w:val="39"/>
    <w:rsid w:val="002B09F2"/>
    <w:rPr>
      <w:rFonts w:ascii="Verdana" w:eastAsia="Verdana" w:hAnsi="Verdana" w:cs="Verdana"/>
      <w:noProof/>
      <w:sz w:val="17"/>
      <w:szCs w:val="17"/>
    </w:rPr>
  </w:style>
  <w:style w:type="paragraph" w:styleId="TOC2">
    <w:name w:val="toc 2"/>
    <w:basedOn w:val="TOC1"/>
    <w:next w:val="Normal"/>
    <w:uiPriority w:val="39"/>
    <w:qFormat/>
    <w:rsid w:val="002B09F2"/>
    <w:pPr>
      <w:ind w:left="720"/>
    </w:pPr>
  </w:style>
  <w:style w:type="paragraph" w:styleId="TOC3">
    <w:name w:val="toc 3"/>
    <w:basedOn w:val="TOC2"/>
    <w:next w:val="Normal"/>
    <w:autoRedefine/>
    <w:uiPriority w:val="39"/>
    <w:unhideWhenUsed/>
    <w:qFormat/>
    <w:rsid w:val="002B09F2"/>
    <w:pPr>
      <w:ind w:left="1440"/>
    </w:pPr>
  </w:style>
  <w:style w:type="paragraph" w:styleId="BalloonText">
    <w:name w:val="Balloon Text"/>
    <w:basedOn w:val="Normal"/>
    <w:link w:val="BalloonTextChar"/>
    <w:uiPriority w:val="99"/>
    <w:semiHidden/>
    <w:unhideWhenUsed/>
    <w:rsid w:val="008E13D3"/>
    <w:rPr>
      <w:rFonts w:ascii="Tahoma" w:hAnsi="Tahoma" w:cs="Tahoma"/>
      <w:sz w:val="16"/>
      <w:szCs w:val="16"/>
    </w:rPr>
  </w:style>
  <w:style w:type="character" w:customStyle="1" w:styleId="BalloonTextChar">
    <w:name w:val="Balloon Text Char"/>
    <w:basedOn w:val="DefaultParagraphFont"/>
    <w:link w:val="BalloonText"/>
    <w:uiPriority w:val="99"/>
    <w:semiHidden/>
    <w:rsid w:val="008E13D3"/>
    <w:rPr>
      <w:rFonts w:ascii="Tahoma" w:hAnsi="Tahoma" w:cs="Tahoma"/>
      <w:sz w:val="16"/>
      <w:szCs w:val="16"/>
    </w:rPr>
  </w:style>
  <w:style w:type="paragraph" w:styleId="Header">
    <w:name w:val="header"/>
    <w:basedOn w:val="Normal"/>
    <w:link w:val="HeaderChar"/>
    <w:uiPriority w:val="1"/>
    <w:rsid w:val="000C7D9E"/>
    <w:pPr>
      <w:tabs>
        <w:tab w:val="center" w:pos="4680"/>
        <w:tab w:val="right" w:pos="9360"/>
      </w:tabs>
      <w:spacing w:after="0"/>
    </w:pPr>
  </w:style>
  <w:style w:type="character" w:customStyle="1" w:styleId="HeaderChar">
    <w:name w:val="Header Char"/>
    <w:basedOn w:val="DefaultParagraphFont"/>
    <w:link w:val="Header"/>
    <w:uiPriority w:val="1"/>
    <w:rsid w:val="000C7D9E"/>
    <w:rPr>
      <w:rFonts w:ascii="Verdana" w:eastAsia="Verdana" w:hAnsi="Verdana" w:cs="Verdana"/>
      <w:sz w:val="17"/>
      <w:szCs w:val="17"/>
    </w:rPr>
  </w:style>
  <w:style w:type="paragraph" w:styleId="Footer">
    <w:name w:val="footer"/>
    <w:basedOn w:val="Normal"/>
    <w:link w:val="FooterChar"/>
    <w:uiPriority w:val="1"/>
    <w:rsid w:val="0040525A"/>
    <w:pPr>
      <w:pBdr>
        <w:top w:val="dotted" w:sz="4" w:space="1" w:color="000000" w:themeColor="text2"/>
      </w:pBdr>
      <w:tabs>
        <w:tab w:val="center" w:pos="7020"/>
        <w:tab w:val="right" w:pos="10800"/>
      </w:tabs>
      <w:spacing w:after="0" w:line="240" w:lineRule="auto"/>
      <w:ind w:right="-3600"/>
    </w:pPr>
    <w:rPr>
      <w:color w:val="000000" w:themeColor="text2"/>
    </w:rPr>
  </w:style>
  <w:style w:type="character" w:customStyle="1" w:styleId="FooterChar">
    <w:name w:val="Footer Char"/>
    <w:basedOn w:val="DefaultParagraphFont"/>
    <w:link w:val="Footer"/>
    <w:uiPriority w:val="1"/>
    <w:rsid w:val="0040525A"/>
    <w:rPr>
      <w:rFonts w:ascii="Verdana" w:eastAsia="Verdana" w:hAnsi="Verdana" w:cs="Verdana"/>
      <w:color w:val="000000" w:themeColor="text2"/>
      <w:sz w:val="17"/>
      <w:szCs w:val="17"/>
    </w:rPr>
  </w:style>
  <w:style w:type="character" w:styleId="CommentReference">
    <w:name w:val="annotation reference"/>
    <w:basedOn w:val="DefaultParagraphFont"/>
    <w:uiPriority w:val="99"/>
    <w:semiHidden/>
    <w:unhideWhenUsed/>
    <w:rsid w:val="006B2BC5"/>
    <w:rPr>
      <w:sz w:val="16"/>
      <w:szCs w:val="16"/>
    </w:rPr>
  </w:style>
  <w:style w:type="paragraph" w:styleId="CommentSubject">
    <w:name w:val="annotation subject"/>
    <w:basedOn w:val="Normal"/>
    <w:link w:val="CommentSubjectChar"/>
    <w:uiPriority w:val="99"/>
    <w:semiHidden/>
    <w:unhideWhenUsed/>
    <w:rsid w:val="002E5737"/>
    <w:rPr>
      <w:b/>
      <w:bCs/>
    </w:rPr>
  </w:style>
  <w:style w:type="character" w:customStyle="1" w:styleId="CommentSubjectChar">
    <w:name w:val="Comment Subject Char"/>
    <w:basedOn w:val="DefaultParagraphFont"/>
    <w:link w:val="CommentSubject"/>
    <w:uiPriority w:val="99"/>
    <w:semiHidden/>
    <w:rsid w:val="002E5737"/>
    <w:rPr>
      <w:rFonts w:ascii="Minion Pro" w:hAnsi="Minion Pro"/>
      <w:b/>
      <w:bCs/>
    </w:rPr>
  </w:style>
  <w:style w:type="paragraph" w:styleId="Revision">
    <w:name w:val="Revision"/>
    <w:hidden/>
    <w:uiPriority w:val="99"/>
    <w:semiHidden/>
    <w:rsid w:val="00A71BB5"/>
    <w:rPr>
      <w:rFonts w:ascii="Minion Pro" w:hAnsi="Minion Pro"/>
      <w:sz w:val="21"/>
      <w:szCs w:val="24"/>
    </w:rPr>
  </w:style>
  <w:style w:type="paragraph" w:styleId="FootnoteText">
    <w:name w:val="footnote text"/>
    <w:basedOn w:val="Normal"/>
    <w:link w:val="FootnoteTextChar"/>
    <w:uiPriority w:val="99"/>
    <w:semiHidden/>
    <w:unhideWhenUsed/>
    <w:rsid w:val="00EA13E1"/>
    <w:rPr>
      <w:sz w:val="20"/>
      <w:szCs w:val="20"/>
    </w:rPr>
  </w:style>
  <w:style w:type="character" w:customStyle="1" w:styleId="FootnoteTextChar">
    <w:name w:val="Footnote Text Char"/>
    <w:basedOn w:val="DefaultParagraphFont"/>
    <w:link w:val="FootnoteText"/>
    <w:uiPriority w:val="99"/>
    <w:semiHidden/>
    <w:rsid w:val="00EA13E1"/>
    <w:rPr>
      <w:rFonts w:ascii="Minion Pro" w:hAnsi="Minion Pro"/>
    </w:rPr>
  </w:style>
  <w:style w:type="character" w:styleId="FootnoteReference">
    <w:name w:val="footnote reference"/>
    <w:basedOn w:val="DefaultParagraphFont"/>
    <w:uiPriority w:val="99"/>
    <w:semiHidden/>
    <w:unhideWhenUsed/>
    <w:rsid w:val="00EA13E1"/>
    <w:rPr>
      <w:vertAlign w:val="superscript"/>
    </w:rPr>
  </w:style>
  <w:style w:type="paragraph" w:styleId="Title">
    <w:name w:val="Title"/>
    <w:basedOn w:val="Normal"/>
    <w:next w:val="Normal"/>
    <w:link w:val="TitleChar"/>
    <w:rsid w:val="00310E44"/>
    <w:pPr>
      <w:spacing w:after="0" w:line="240" w:lineRule="auto"/>
    </w:pPr>
    <w:rPr>
      <w:color w:val="3F5163" w:themeColor="accent1"/>
      <w:sz w:val="60"/>
      <w:szCs w:val="60"/>
    </w:rPr>
  </w:style>
  <w:style w:type="character" w:customStyle="1" w:styleId="TitleChar">
    <w:name w:val="Title Char"/>
    <w:basedOn w:val="DefaultParagraphFont"/>
    <w:link w:val="Title"/>
    <w:rsid w:val="00310E44"/>
    <w:rPr>
      <w:rFonts w:ascii="Verdana" w:eastAsia="Verdana" w:hAnsi="Verdana" w:cs="Verdana"/>
      <w:color w:val="3F5163" w:themeColor="accent1"/>
      <w:sz w:val="60"/>
      <w:szCs w:val="60"/>
    </w:rPr>
  </w:style>
  <w:style w:type="table" w:styleId="LightShading">
    <w:name w:val="Light Shading"/>
    <w:aliases w:val="Harder 1"/>
    <w:basedOn w:val="TableNormal"/>
    <w:uiPriority w:val="60"/>
    <w:rsid w:val="00415699"/>
    <w:rPr>
      <w:rFonts w:ascii="Verdana" w:hAnsi="Verdana"/>
      <w:sz w:val="17"/>
    </w:rPr>
    <w:tblPr>
      <w:tblStyleRowBandSize w:val="1"/>
      <w:tblStyleColBandSize w:val="1"/>
    </w:tblPr>
    <w:tcPr>
      <w:shd w:val="clear" w:color="auto" w:fill="auto"/>
    </w:tcPr>
    <w:tblStylePr w:type="firstRow">
      <w:pPr>
        <w:spacing w:before="0" w:after="0" w:line="240" w:lineRule="auto"/>
        <w:jc w:val="center"/>
      </w:pPr>
      <w:rPr>
        <w:rFonts w:ascii="Verdana" w:hAnsi="Verdana"/>
        <w:b w:val="0"/>
        <w:bCs/>
        <w:color w:val="FFFFFF" w:themeColor="background2"/>
        <w:sz w:val="17"/>
      </w:rPr>
      <w:tblPr/>
      <w:tcPr>
        <w:shd w:val="clear" w:color="auto" w:fill="1B69AA" w:themeFill="accent2"/>
      </w:tcPr>
    </w:tblStylePr>
    <w:tblStylePr w:type="lastRow">
      <w:pPr>
        <w:spacing w:before="0" w:after="0" w:line="240" w:lineRule="auto"/>
        <w:jc w:val="center"/>
      </w:pPr>
      <w:rPr>
        <w:rFonts w:ascii="Verdana" w:hAnsi="Verdana"/>
        <w:b w:val="0"/>
        <w:bCs/>
        <w:sz w:val="17"/>
      </w:rPr>
      <w:tblPr/>
      <w:tcPr>
        <w:tcBorders>
          <w:top w:val="nil"/>
          <w:left w:val="nil"/>
          <w:bottom w:val="nil"/>
          <w:right w:val="nil"/>
          <w:insideH w:val="nil"/>
          <w:insideV w:val="nil"/>
          <w:tl2br w:val="nil"/>
          <w:tr2bl w:val="nil"/>
        </w:tcBorders>
        <w:vAlign w:val="center"/>
      </w:tcPr>
    </w:tblStylePr>
    <w:tblStylePr w:type="firstCol">
      <w:pPr>
        <w:jc w:val="left"/>
      </w:pPr>
      <w:rPr>
        <w:rFonts w:ascii="Verdana" w:hAnsi="Verdana"/>
        <w:b w:val="0"/>
        <w:bCs/>
        <w:sz w:val="17"/>
      </w:rPr>
      <w:tblPr/>
      <w:tcPr>
        <w:vAlign w:val="center"/>
      </w:tcPr>
    </w:tblStylePr>
    <w:tblStylePr w:type="lastCol">
      <w:rPr>
        <w:rFonts w:ascii="Verdana" w:hAnsi="Verdana"/>
        <w:b w:val="0"/>
        <w:bCs/>
        <w:sz w:val="17"/>
      </w:rPr>
    </w:tblStylePr>
    <w:tblStylePr w:type="band1Vert">
      <w:pPr>
        <w:jc w:val="center"/>
      </w:pPr>
      <w:tblPr/>
      <w:tcPr>
        <w:vAlign w:val="center"/>
      </w:tcPr>
    </w:tblStylePr>
    <w:tblStylePr w:type="band1Horz">
      <w:pPr>
        <w:jc w:val="center"/>
      </w:pPr>
      <w:rPr>
        <w:rFonts w:ascii="Verdana" w:hAnsi="Verdana"/>
        <w:b w:val="0"/>
        <w:sz w:val="17"/>
      </w:rPr>
      <w:tblPr/>
      <w:tcPr>
        <w:shd w:val="clear" w:color="auto" w:fill="D9D9D9" w:themeFill="accent6" w:themeFillShade="D9"/>
        <w:vAlign w:val="center"/>
      </w:tcPr>
    </w:tblStylePr>
    <w:tblStylePr w:type="band2Horz">
      <w:pPr>
        <w:jc w:val="center"/>
      </w:pPr>
      <w:rPr>
        <w:rFonts w:ascii="Verdana" w:hAnsi="Verdana"/>
        <w:b w:val="0"/>
        <w:sz w:val="17"/>
      </w:rPr>
      <w:tblPr/>
      <w:tcPr>
        <w:vAlign w:val="center"/>
      </w:tcPr>
    </w:tblStylePr>
    <w:tblStylePr w:type="nwCell">
      <w:pPr>
        <w:jc w:val="left"/>
      </w:pPr>
      <w:tblPr/>
      <w:tcPr>
        <w:vAlign w:val="center"/>
      </w:tcPr>
    </w:tblStylePr>
    <w:tblStylePr w:type="swCell">
      <w:pPr>
        <w:jc w:val="left"/>
      </w:pPr>
      <w:tblPr/>
      <w:tcPr>
        <w:vAlign w:val="center"/>
      </w:tcPr>
    </w:tblStylePr>
  </w:style>
  <w:style w:type="table" w:styleId="ColorfulList">
    <w:name w:val="Colorful List"/>
    <w:basedOn w:val="TableNormal"/>
    <w:uiPriority w:val="72"/>
    <w:rsid w:val="0041569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55387" w:themeFill="accent2" w:themeFillShade="CC"/>
      </w:tcPr>
    </w:tblStylePr>
    <w:tblStylePr w:type="lastRow">
      <w:rPr>
        <w:b/>
        <w:bCs/>
        <w:color w:val="15538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ListParagraph">
    <w:name w:val="List Paragraph"/>
    <w:basedOn w:val="Bullet"/>
    <w:uiPriority w:val="1"/>
    <w:qFormat/>
    <w:rsid w:val="00F66AFA"/>
    <w:pPr>
      <w:numPr>
        <w:numId w:val="24"/>
      </w:numPr>
    </w:pPr>
  </w:style>
  <w:style w:type="paragraph" w:styleId="Quote">
    <w:name w:val="Quote"/>
    <w:basedOn w:val="Normal"/>
    <w:next w:val="Normal"/>
    <w:link w:val="QuoteChar"/>
    <w:uiPriority w:val="1"/>
    <w:rsid w:val="000A2767"/>
    <w:pPr>
      <w:spacing w:after="0" w:line="360" w:lineRule="auto"/>
      <w:ind w:right="15"/>
    </w:pPr>
    <w:rPr>
      <w:b/>
      <w:color w:val="1B69AA" w:themeColor="accent2"/>
      <w:sz w:val="20"/>
      <w:szCs w:val="20"/>
    </w:rPr>
  </w:style>
  <w:style w:type="character" w:customStyle="1" w:styleId="QuoteChar">
    <w:name w:val="Quote Char"/>
    <w:basedOn w:val="DefaultParagraphFont"/>
    <w:link w:val="Quote"/>
    <w:uiPriority w:val="1"/>
    <w:rsid w:val="00B63CF6"/>
    <w:rPr>
      <w:rFonts w:ascii="Verdana" w:eastAsia="Verdana" w:hAnsi="Verdana" w:cs="Verdana"/>
      <w:b/>
      <w:color w:val="1B69AA" w:themeColor="accent2"/>
    </w:rPr>
  </w:style>
  <w:style w:type="character" w:styleId="Hyperlink">
    <w:name w:val="Hyperlink"/>
    <w:basedOn w:val="DefaultParagraphFont"/>
    <w:uiPriority w:val="99"/>
    <w:unhideWhenUsed/>
    <w:rsid w:val="007A32F9"/>
    <w:rPr>
      <w:color w:val="0000FF" w:themeColor="hyperlink"/>
      <w:u w:val="single"/>
    </w:rPr>
  </w:style>
  <w:style w:type="table" w:styleId="TableGrid">
    <w:name w:val="Table Grid"/>
    <w:basedOn w:val="TableNormal"/>
    <w:uiPriority w:val="39"/>
    <w:rsid w:val="00B73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arder2">
    <w:name w:val="Harder2"/>
    <w:basedOn w:val="LightShading"/>
    <w:uiPriority w:val="99"/>
    <w:rsid w:val="002B703F"/>
    <w:tblPr/>
    <w:tcPr>
      <w:shd w:val="clear" w:color="auto" w:fill="auto"/>
    </w:tcPr>
    <w:tblStylePr w:type="firstRow">
      <w:pPr>
        <w:spacing w:before="0" w:after="0" w:line="240" w:lineRule="auto"/>
        <w:jc w:val="center"/>
      </w:pPr>
      <w:rPr>
        <w:rFonts w:ascii="Verdana" w:hAnsi="Verdana"/>
        <w:b w:val="0"/>
        <w:bCs/>
        <w:color w:val="FFFFFF" w:themeColor="background2"/>
        <w:sz w:val="17"/>
      </w:rPr>
      <w:tblPr/>
      <w:tcPr>
        <w:shd w:val="clear" w:color="auto" w:fill="37BFBF" w:themeFill="accent3"/>
      </w:tcPr>
    </w:tblStylePr>
    <w:tblStylePr w:type="lastRow">
      <w:pPr>
        <w:spacing w:before="0" w:after="0" w:line="240" w:lineRule="auto"/>
        <w:jc w:val="center"/>
      </w:pPr>
      <w:rPr>
        <w:rFonts w:ascii="Verdana" w:hAnsi="Verdana"/>
        <w:b w:val="0"/>
        <w:bCs/>
        <w:sz w:val="17"/>
      </w:rPr>
      <w:tblPr/>
      <w:tcPr>
        <w:tcBorders>
          <w:top w:val="nil"/>
          <w:left w:val="nil"/>
          <w:bottom w:val="nil"/>
          <w:right w:val="nil"/>
          <w:insideH w:val="nil"/>
          <w:insideV w:val="nil"/>
          <w:tl2br w:val="nil"/>
          <w:tr2bl w:val="nil"/>
        </w:tcBorders>
        <w:vAlign w:val="center"/>
      </w:tcPr>
    </w:tblStylePr>
    <w:tblStylePr w:type="firstCol">
      <w:pPr>
        <w:jc w:val="left"/>
      </w:pPr>
      <w:rPr>
        <w:rFonts w:ascii="Verdana" w:hAnsi="Verdana"/>
        <w:b w:val="0"/>
        <w:bCs/>
        <w:sz w:val="17"/>
      </w:rPr>
      <w:tblPr/>
      <w:tcPr>
        <w:vAlign w:val="center"/>
      </w:tcPr>
    </w:tblStylePr>
    <w:tblStylePr w:type="lastCol">
      <w:rPr>
        <w:rFonts w:ascii="Verdana" w:hAnsi="Verdana"/>
        <w:b w:val="0"/>
        <w:bCs/>
        <w:sz w:val="17"/>
      </w:rPr>
    </w:tblStylePr>
    <w:tblStylePr w:type="band1Vert">
      <w:pPr>
        <w:jc w:val="center"/>
      </w:pPr>
      <w:tblPr/>
      <w:tcPr>
        <w:vAlign w:val="center"/>
      </w:tcPr>
    </w:tblStylePr>
    <w:tblStylePr w:type="band1Horz">
      <w:pPr>
        <w:jc w:val="center"/>
      </w:pPr>
      <w:rPr>
        <w:rFonts w:ascii="Verdana" w:hAnsi="Verdana"/>
        <w:b w:val="0"/>
        <w:sz w:val="17"/>
      </w:rPr>
      <w:tblPr/>
      <w:tcPr>
        <w:shd w:val="clear" w:color="auto" w:fill="D9D9D9" w:themeFill="accent6" w:themeFillShade="D9"/>
        <w:vAlign w:val="center"/>
      </w:tcPr>
    </w:tblStylePr>
    <w:tblStylePr w:type="band2Horz">
      <w:pPr>
        <w:jc w:val="center"/>
      </w:pPr>
      <w:rPr>
        <w:rFonts w:ascii="Verdana" w:hAnsi="Verdana"/>
        <w:b w:val="0"/>
        <w:sz w:val="17"/>
      </w:rPr>
      <w:tblPr/>
      <w:tcPr>
        <w:vAlign w:val="center"/>
      </w:tcPr>
    </w:tblStylePr>
    <w:tblStylePr w:type="nwCell">
      <w:pPr>
        <w:jc w:val="left"/>
      </w:pPr>
      <w:tblPr/>
      <w:tcPr>
        <w:vAlign w:val="center"/>
      </w:tcPr>
    </w:tblStylePr>
    <w:tblStylePr w:type="swCell">
      <w:pPr>
        <w:jc w:val="left"/>
      </w:pPr>
      <w:tblPr/>
      <w:tcPr>
        <w:vAlign w:val="center"/>
      </w:tcPr>
    </w:tblStylePr>
  </w:style>
  <w:style w:type="table" w:customStyle="1" w:styleId="Harder3">
    <w:name w:val="Harder3"/>
    <w:basedOn w:val="LightShading"/>
    <w:uiPriority w:val="99"/>
    <w:rsid w:val="002B703F"/>
    <w:tblPr/>
    <w:tcPr>
      <w:shd w:val="clear" w:color="auto" w:fill="auto"/>
    </w:tcPr>
    <w:tblStylePr w:type="firstRow">
      <w:pPr>
        <w:spacing w:before="0" w:after="0" w:line="240" w:lineRule="auto"/>
        <w:jc w:val="center"/>
      </w:pPr>
      <w:rPr>
        <w:rFonts w:ascii="Verdana" w:hAnsi="Verdana"/>
        <w:b w:val="0"/>
        <w:bCs/>
        <w:color w:val="FFFFFF" w:themeColor="background2"/>
        <w:sz w:val="17"/>
      </w:rPr>
      <w:tblPr/>
      <w:tcPr>
        <w:shd w:val="clear" w:color="auto" w:fill="E5542E" w:themeFill="accent4"/>
      </w:tcPr>
    </w:tblStylePr>
    <w:tblStylePr w:type="lastRow">
      <w:pPr>
        <w:spacing w:before="0" w:after="0" w:line="240" w:lineRule="auto"/>
        <w:jc w:val="center"/>
      </w:pPr>
      <w:rPr>
        <w:rFonts w:ascii="Verdana" w:hAnsi="Verdana"/>
        <w:b w:val="0"/>
        <w:bCs/>
        <w:sz w:val="17"/>
      </w:rPr>
      <w:tblPr/>
      <w:tcPr>
        <w:tcBorders>
          <w:top w:val="nil"/>
          <w:left w:val="nil"/>
          <w:bottom w:val="nil"/>
          <w:right w:val="nil"/>
          <w:insideH w:val="nil"/>
          <w:insideV w:val="nil"/>
          <w:tl2br w:val="nil"/>
          <w:tr2bl w:val="nil"/>
        </w:tcBorders>
        <w:vAlign w:val="center"/>
      </w:tcPr>
    </w:tblStylePr>
    <w:tblStylePr w:type="firstCol">
      <w:pPr>
        <w:jc w:val="left"/>
      </w:pPr>
      <w:rPr>
        <w:rFonts w:ascii="Verdana" w:hAnsi="Verdana"/>
        <w:b w:val="0"/>
        <w:bCs/>
        <w:sz w:val="17"/>
      </w:rPr>
      <w:tblPr/>
      <w:tcPr>
        <w:vAlign w:val="center"/>
      </w:tcPr>
    </w:tblStylePr>
    <w:tblStylePr w:type="lastCol">
      <w:rPr>
        <w:rFonts w:ascii="Verdana" w:hAnsi="Verdana"/>
        <w:b w:val="0"/>
        <w:bCs/>
        <w:sz w:val="17"/>
      </w:rPr>
    </w:tblStylePr>
    <w:tblStylePr w:type="band1Vert">
      <w:pPr>
        <w:jc w:val="center"/>
      </w:pPr>
      <w:tblPr/>
      <w:tcPr>
        <w:vAlign w:val="center"/>
      </w:tcPr>
    </w:tblStylePr>
    <w:tblStylePr w:type="band1Horz">
      <w:pPr>
        <w:jc w:val="center"/>
      </w:pPr>
      <w:rPr>
        <w:rFonts w:ascii="Verdana" w:hAnsi="Verdana"/>
        <w:b w:val="0"/>
        <w:sz w:val="17"/>
      </w:rPr>
      <w:tblPr/>
      <w:tcPr>
        <w:shd w:val="clear" w:color="auto" w:fill="D9D9D9" w:themeFill="accent6" w:themeFillShade="D9"/>
        <w:vAlign w:val="center"/>
      </w:tcPr>
    </w:tblStylePr>
    <w:tblStylePr w:type="band2Horz">
      <w:pPr>
        <w:jc w:val="center"/>
      </w:pPr>
      <w:rPr>
        <w:rFonts w:ascii="Verdana" w:hAnsi="Verdana"/>
        <w:b w:val="0"/>
        <w:sz w:val="17"/>
      </w:rPr>
      <w:tblPr/>
      <w:tcPr>
        <w:vAlign w:val="center"/>
      </w:tcPr>
    </w:tblStylePr>
    <w:tblStylePr w:type="nwCell">
      <w:pPr>
        <w:jc w:val="left"/>
      </w:pPr>
      <w:tblPr/>
      <w:tcPr>
        <w:vAlign w:val="center"/>
      </w:tcPr>
    </w:tblStylePr>
    <w:tblStylePr w:type="swCell">
      <w:pPr>
        <w:jc w:val="left"/>
      </w:pPr>
      <w:tblPr/>
      <w:tcPr>
        <w:vAlign w:val="center"/>
      </w:tcPr>
    </w:tblStylePr>
  </w:style>
  <w:style w:type="table" w:customStyle="1" w:styleId="Harder4">
    <w:name w:val="Harder4"/>
    <w:basedOn w:val="LightShading"/>
    <w:uiPriority w:val="99"/>
    <w:rsid w:val="002B703F"/>
    <w:tblPr/>
    <w:tcPr>
      <w:shd w:val="clear" w:color="auto" w:fill="auto"/>
    </w:tcPr>
    <w:tblStylePr w:type="firstRow">
      <w:pPr>
        <w:spacing w:before="0" w:after="0" w:line="240" w:lineRule="auto"/>
        <w:jc w:val="center"/>
      </w:pPr>
      <w:rPr>
        <w:rFonts w:ascii="Verdana" w:hAnsi="Verdana"/>
        <w:b w:val="0"/>
        <w:bCs/>
        <w:color w:val="FFFFFF" w:themeColor="background2"/>
        <w:sz w:val="17"/>
      </w:rPr>
      <w:tblPr/>
      <w:tcPr>
        <w:shd w:val="clear" w:color="auto" w:fill="EAA10F" w:themeFill="accent5"/>
      </w:tcPr>
    </w:tblStylePr>
    <w:tblStylePr w:type="lastRow">
      <w:pPr>
        <w:spacing w:before="0" w:after="0" w:line="240" w:lineRule="auto"/>
        <w:jc w:val="center"/>
      </w:pPr>
      <w:rPr>
        <w:rFonts w:ascii="Verdana" w:hAnsi="Verdana"/>
        <w:b w:val="0"/>
        <w:bCs/>
        <w:sz w:val="17"/>
      </w:rPr>
      <w:tblPr/>
      <w:tcPr>
        <w:tcBorders>
          <w:top w:val="nil"/>
          <w:left w:val="nil"/>
          <w:bottom w:val="nil"/>
          <w:right w:val="nil"/>
          <w:insideH w:val="nil"/>
          <w:insideV w:val="nil"/>
          <w:tl2br w:val="nil"/>
          <w:tr2bl w:val="nil"/>
        </w:tcBorders>
        <w:vAlign w:val="center"/>
      </w:tcPr>
    </w:tblStylePr>
    <w:tblStylePr w:type="firstCol">
      <w:pPr>
        <w:jc w:val="left"/>
      </w:pPr>
      <w:rPr>
        <w:rFonts w:ascii="Verdana" w:hAnsi="Verdana"/>
        <w:b w:val="0"/>
        <w:bCs/>
        <w:sz w:val="17"/>
      </w:rPr>
      <w:tblPr/>
      <w:tcPr>
        <w:vAlign w:val="center"/>
      </w:tcPr>
    </w:tblStylePr>
    <w:tblStylePr w:type="lastCol">
      <w:rPr>
        <w:rFonts w:ascii="Verdana" w:hAnsi="Verdana"/>
        <w:b w:val="0"/>
        <w:bCs/>
        <w:sz w:val="17"/>
      </w:rPr>
    </w:tblStylePr>
    <w:tblStylePr w:type="band1Vert">
      <w:pPr>
        <w:jc w:val="center"/>
      </w:pPr>
      <w:tblPr/>
      <w:tcPr>
        <w:vAlign w:val="center"/>
      </w:tcPr>
    </w:tblStylePr>
    <w:tblStylePr w:type="band1Horz">
      <w:pPr>
        <w:jc w:val="center"/>
      </w:pPr>
      <w:rPr>
        <w:rFonts w:ascii="Verdana" w:hAnsi="Verdana"/>
        <w:b w:val="0"/>
        <w:sz w:val="17"/>
      </w:rPr>
      <w:tblPr/>
      <w:tcPr>
        <w:shd w:val="clear" w:color="auto" w:fill="D9D9D9" w:themeFill="accent6" w:themeFillShade="D9"/>
        <w:vAlign w:val="center"/>
      </w:tcPr>
    </w:tblStylePr>
    <w:tblStylePr w:type="band2Horz">
      <w:pPr>
        <w:jc w:val="center"/>
      </w:pPr>
      <w:rPr>
        <w:rFonts w:ascii="Verdana" w:hAnsi="Verdana"/>
        <w:b w:val="0"/>
        <w:sz w:val="17"/>
      </w:rPr>
      <w:tblPr/>
      <w:tcPr>
        <w:vAlign w:val="center"/>
      </w:tcPr>
    </w:tblStylePr>
    <w:tblStylePr w:type="nwCell">
      <w:pPr>
        <w:jc w:val="left"/>
      </w:pPr>
      <w:tblPr/>
      <w:tcPr>
        <w:vAlign w:val="center"/>
      </w:tcPr>
    </w:tblStylePr>
    <w:tblStylePr w:type="swCell">
      <w:pPr>
        <w:jc w:val="left"/>
      </w:pPr>
      <w:tblPr/>
      <w:tcPr>
        <w:vAlign w:val="center"/>
      </w:tcPr>
    </w:tblStylePr>
  </w:style>
  <w:style w:type="paragraph" w:customStyle="1" w:styleId="ExhibitBullet">
    <w:name w:val="Exhibit Bullet"/>
    <w:basedOn w:val="Heading4"/>
    <w:qFormat/>
    <w:rsid w:val="004B5CC4"/>
    <w:pPr>
      <w:numPr>
        <w:numId w:val="26"/>
      </w:numPr>
      <w:tabs>
        <w:tab w:val="num" w:pos="360"/>
      </w:tabs>
      <w:ind w:left="1080" w:hanging="1080"/>
    </w:pPr>
  </w:style>
  <w:style w:type="paragraph" w:customStyle="1" w:styleId="Footnote">
    <w:name w:val="Footnote"/>
    <w:basedOn w:val="Normal"/>
    <w:qFormat/>
    <w:rsid w:val="00EA0F16"/>
  </w:style>
  <w:style w:type="paragraph" w:customStyle="1" w:styleId="Pull-OutBoxHeading">
    <w:name w:val="Pull-Out Box Heading"/>
    <w:basedOn w:val="Heading3"/>
    <w:qFormat/>
    <w:rsid w:val="00EA0F16"/>
    <w:rPr>
      <w:color w:val="auto"/>
    </w:rPr>
  </w:style>
  <w:style w:type="table" w:customStyle="1" w:styleId="LightList1">
    <w:name w:val="Light List1"/>
    <w:basedOn w:val="TableNormal"/>
    <w:next w:val="LightList"/>
    <w:uiPriority w:val="61"/>
    <w:rsid w:val="009920E4"/>
    <w:rPr>
      <w:rFonts w:ascii="Arial" w:eastAsia="Arial" w:hAnsi="Arial" w:cs="Arial"/>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9920E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uiPriority w:val="59"/>
    <w:rsid w:val="00B26DA4"/>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next w:val="LightList"/>
    <w:uiPriority w:val="61"/>
    <w:rsid w:val="00B26DA4"/>
    <w:rPr>
      <w:rFonts w:ascii="Arial" w:eastAsia="Arial" w:hAnsi="Arial" w:cs="Arial"/>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
    <w:name w:val="Table Grid2"/>
    <w:basedOn w:val="TableNormal"/>
    <w:next w:val="TableGrid"/>
    <w:uiPriority w:val="59"/>
    <w:rsid w:val="00A40EE0"/>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
    <w:name w:val="Light List12"/>
    <w:basedOn w:val="TableNormal"/>
    <w:next w:val="LightList"/>
    <w:uiPriority w:val="61"/>
    <w:rsid w:val="00A40EE0"/>
    <w:rPr>
      <w:rFonts w:ascii="Arial" w:eastAsia="Arial" w:hAnsi="Arial" w:cs="Arial"/>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3">
    <w:name w:val="Table Grid3"/>
    <w:basedOn w:val="TableNormal"/>
    <w:next w:val="TableGrid"/>
    <w:uiPriority w:val="59"/>
    <w:rsid w:val="00F41485"/>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3">
    <w:name w:val="Light List13"/>
    <w:basedOn w:val="TableNormal"/>
    <w:next w:val="LightList"/>
    <w:uiPriority w:val="61"/>
    <w:rsid w:val="00F41485"/>
    <w:rPr>
      <w:rFonts w:ascii="Arial" w:eastAsia="Arial" w:hAnsi="Arial" w:cs="Arial"/>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4">
    <w:name w:val="Table Grid4"/>
    <w:basedOn w:val="TableNormal"/>
    <w:next w:val="TableGrid"/>
    <w:uiPriority w:val="59"/>
    <w:rsid w:val="00BC3E80"/>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4">
    <w:name w:val="Light List14"/>
    <w:basedOn w:val="TableNormal"/>
    <w:next w:val="LightList"/>
    <w:uiPriority w:val="61"/>
    <w:rsid w:val="00BC3E80"/>
    <w:rPr>
      <w:rFonts w:ascii="Arial" w:eastAsia="Arial" w:hAnsi="Arial" w:cs="Arial"/>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5">
    <w:name w:val="Table Grid5"/>
    <w:basedOn w:val="TableNormal"/>
    <w:next w:val="TableGrid"/>
    <w:uiPriority w:val="59"/>
    <w:rsid w:val="009446CC"/>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TableNormal"/>
    <w:next w:val="LightList"/>
    <w:uiPriority w:val="61"/>
    <w:rsid w:val="009446CC"/>
    <w:rPr>
      <w:rFonts w:ascii="Arial" w:eastAsia="Arial" w:hAnsi="Arial" w:cs="Arial"/>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1329">
      <w:bodyDiv w:val="1"/>
      <w:marLeft w:val="0"/>
      <w:marRight w:val="0"/>
      <w:marTop w:val="0"/>
      <w:marBottom w:val="0"/>
      <w:divBdr>
        <w:top w:val="none" w:sz="0" w:space="0" w:color="auto"/>
        <w:left w:val="none" w:sz="0" w:space="0" w:color="auto"/>
        <w:bottom w:val="none" w:sz="0" w:space="0" w:color="auto"/>
        <w:right w:val="none" w:sz="0" w:space="0" w:color="auto"/>
      </w:divBdr>
    </w:div>
    <w:div w:id="131139707">
      <w:bodyDiv w:val="1"/>
      <w:marLeft w:val="0"/>
      <w:marRight w:val="0"/>
      <w:marTop w:val="0"/>
      <w:marBottom w:val="0"/>
      <w:divBdr>
        <w:top w:val="none" w:sz="0" w:space="0" w:color="auto"/>
        <w:left w:val="none" w:sz="0" w:space="0" w:color="auto"/>
        <w:bottom w:val="none" w:sz="0" w:space="0" w:color="auto"/>
        <w:right w:val="none" w:sz="0" w:space="0" w:color="auto"/>
      </w:divBdr>
    </w:div>
    <w:div w:id="140536510">
      <w:bodyDiv w:val="1"/>
      <w:marLeft w:val="0"/>
      <w:marRight w:val="0"/>
      <w:marTop w:val="0"/>
      <w:marBottom w:val="0"/>
      <w:divBdr>
        <w:top w:val="none" w:sz="0" w:space="0" w:color="auto"/>
        <w:left w:val="none" w:sz="0" w:space="0" w:color="auto"/>
        <w:bottom w:val="none" w:sz="0" w:space="0" w:color="auto"/>
        <w:right w:val="none" w:sz="0" w:space="0" w:color="auto"/>
      </w:divBdr>
    </w:div>
    <w:div w:id="215436390">
      <w:bodyDiv w:val="1"/>
      <w:marLeft w:val="0"/>
      <w:marRight w:val="0"/>
      <w:marTop w:val="0"/>
      <w:marBottom w:val="0"/>
      <w:divBdr>
        <w:top w:val="none" w:sz="0" w:space="0" w:color="auto"/>
        <w:left w:val="none" w:sz="0" w:space="0" w:color="auto"/>
        <w:bottom w:val="none" w:sz="0" w:space="0" w:color="auto"/>
        <w:right w:val="none" w:sz="0" w:space="0" w:color="auto"/>
      </w:divBdr>
    </w:div>
    <w:div w:id="218060071">
      <w:bodyDiv w:val="1"/>
      <w:marLeft w:val="0"/>
      <w:marRight w:val="0"/>
      <w:marTop w:val="0"/>
      <w:marBottom w:val="0"/>
      <w:divBdr>
        <w:top w:val="none" w:sz="0" w:space="0" w:color="auto"/>
        <w:left w:val="none" w:sz="0" w:space="0" w:color="auto"/>
        <w:bottom w:val="none" w:sz="0" w:space="0" w:color="auto"/>
        <w:right w:val="none" w:sz="0" w:space="0" w:color="auto"/>
      </w:divBdr>
    </w:div>
    <w:div w:id="325136628">
      <w:bodyDiv w:val="1"/>
      <w:marLeft w:val="0"/>
      <w:marRight w:val="0"/>
      <w:marTop w:val="0"/>
      <w:marBottom w:val="0"/>
      <w:divBdr>
        <w:top w:val="none" w:sz="0" w:space="0" w:color="auto"/>
        <w:left w:val="none" w:sz="0" w:space="0" w:color="auto"/>
        <w:bottom w:val="none" w:sz="0" w:space="0" w:color="auto"/>
        <w:right w:val="none" w:sz="0" w:space="0" w:color="auto"/>
      </w:divBdr>
    </w:div>
    <w:div w:id="394813621">
      <w:bodyDiv w:val="1"/>
      <w:marLeft w:val="0"/>
      <w:marRight w:val="0"/>
      <w:marTop w:val="0"/>
      <w:marBottom w:val="0"/>
      <w:divBdr>
        <w:top w:val="none" w:sz="0" w:space="0" w:color="auto"/>
        <w:left w:val="none" w:sz="0" w:space="0" w:color="auto"/>
        <w:bottom w:val="none" w:sz="0" w:space="0" w:color="auto"/>
        <w:right w:val="none" w:sz="0" w:space="0" w:color="auto"/>
      </w:divBdr>
    </w:div>
    <w:div w:id="494883087">
      <w:bodyDiv w:val="1"/>
      <w:marLeft w:val="0"/>
      <w:marRight w:val="0"/>
      <w:marTop w:val="0"/>
      <w:marBottom w:val="0"/>
      <w:divBdr>
        <w:top w:val="none" w:sz="0" w:space="0" w:color="auto"/>
        <w:left w:val="none" w:sz="0" w:space="0" w:color="auto"/>
        <w:bottom w:val="none" w:sz="0" w:space="0" w:color="auto"/>
        <w:right w:val="none" w:sz="0" w:space="0" w:color="auto"/>
      </w:divBdr>
    </w:div>
    <w:div w:id="625045558">
      <w:bodyDiv w:val="1"/>
      <w:marLeft w:val="0"/>
      <w:marRight w:val="0"/>
      <w:marTop w:val="0"/>
      <w:marBottom w:val="0"/>
      <w:divBdr>
        <w:top w:val="none" w:sz="0" w:space="0" w:color="auto"/>
        <w:left w:val="none" w:sz="0" w:space="0" w:color="auto"/>
        <w:bottom w:val="none" w:sz="0" w:space="0" w:color="auto"/>
        <w:right w:val="none" w:sz="0" w:space="0" w:color="auto"/>
      </w:divBdr>
    </w:div>
    <w:div w:id="848985681">
      <w:bodyDiv w:val="1"/>
      <w:marLeft w:val="0"/>
      <w:marRight w:val="0"/>
      <w:marTop w:val="0"/>
      <w:marBottom w:val="0"/>
      <w:divBdr>
        <w:top w:val="none" w:sz="0" w:space="0" w:color="auto"/>
        <w:left w:val="none" w:sz="0" w:space="0" w:color="auto"/>
        <w:bottom w:val="none" w:sz="0" w:space="0" w:color="auto"/>
        <w:right w:val="none" w:sz="0" w:space="0" w:color="auto"/>
      </w:divBdr>
    </w:div>
    <w:div w:id="912665447">
      <w:bodyDiv w:val="1"/>
      <w:marLeft w:val="0"/>
      <w:marRight w:val="0"/>
      <w:marTop w:val="0"/>
      <w:marBottom w:val="0"/>
      <w:divBdr>
        <w:top w:val="none" w:sz="0" w:space="0" w:color="auto"/>
        <w:left w:val="none" w:sz="0" w:space="0" w:color="auto"/>
        <w:bottom w:val="none" w:sz="0" w:space="0" w:color="auto"/>
        <w:right w:val="none" w:sz="0" w:space="0" w:color="auto"/>
      </w:divBdr>
    </w:div>
    <w:div w:id="974917044">
      <w:bodyDiv w:val="1"/>
      <w:marLeft w:val="0"/>
      <w:marRight w:val="0"/>
      <w:marTop w:val="0"/>
      <w:marBottom w:val="0"/>
      <w:divBdr>
        <w:top w:val="none" w:sz="0" w:space="0" w:color="auto"/>
        <w:left w:val="none" w:sz="0" w:space="0" w:color="auto"/>
        <w:bottom w:val="none" w:sz="0" w:space="0" w:color="auto"/>
        <w:right w:val="none" w:sz="0" w:space="0" w:color="auto"/>
      </w:divBdr>
    </w:div>
    <w:div w:id="987169563">
      <w:bodyDiv w:val="1"/>
      <w:marLeft w:val="0"/>
      <w:marRight w:val="0"/>
      <w:marTop w:val="0"/>
      <w:marBottom w:val="0"/>
      <w:divBdr>
        <w:top w:val="none" w:sz="0" w:space="0" w:color="auto"/>
        <w:left w:val="none" w:sz="0" w:space="0" w:color="auto"/>
        <w:bottom w:val="none" w:sz="0" w:space="0" w:color="auto"/>
        <w:right w:val="none" w:sz="0" w:space="0" w:color="auto"/>
      </w:divBdr>
    </w:div>
    <w:div w:id="1001934839">
      <w:bodyDiv w:val="1"/>
      <w:marLeft w:val="0"/>
      <w:marRight w:val="0"/>
      <w:marTop w:val="0"/>
      <w:marBottom w:val="0"/>
      <w:divBdr>
        <w:top w:val="none" w:sz="0" w:space="0" w:color="auto"/>
        <w:left w:val="none" w:sz="0" w:space="0" w:color="auto"/>
        <w:bottom w:val="none" w:sz="0" w:space="0" w:color="auto"/>
        <w:right w:val="none" w:sz="0" w:space="0" w:color="auto"/>
      </w:divBdr>
    </w:div>
    <w:div w:id="1031690079">
      <w:bodyDiv w:val="1"/>
      <w:marLeft w:val="0"/>
      <w:marRight w:val="0"/>
      <w:marTop w:val="0"/>
      <w:marBottom w:val="0"/>
      <w:divBdr>
        <w:top w:val="none" w:sz="0" w:space="0" w:color="auto"/>
        <w:left w:val="none" w:sz="0" w:space="0" w:color="auto"/>
        <w:bottom w:val="none" w:sz="0" w:space="0" w:color="auto"/>
        <w:right w:val="none" w:sz="0" w:space="0" w:color="auto"/>
      </w:divBdr>
    </w:div>
    <w:div w:id="1217545714">
      <w:bodyDiv w:val="1"/>
      <w:marLeft w:val="0"/>
      <w:marRight w:val="0"/>
      <w:marTop w:val="0"/>
      <w:marBottom w:val="0"/>
      <w:divBdr>
        <w:top w:val="none" w:sz="0" w:space="0" w:color="auto"/>
        <w:left w:val="none" w:sz="0" w:space="0" w:color="auto"/>
        <w:bottom w:val="none" w:sz="0" w:space="0" w:color="auto"/>
        <w:right w:val="none" w:sz="0" w:space="0" w:color="auto"/>
      </w:divBdr>
    </w:div>
    <w:div w:id="1286155739">
      <w:bodyDiv w:val="1"/>
      <w:marLeft w:val="0"/>
      <w:marRight w:val="0"/>
      <w:marTop w:val="0"/>
      <w:marBottom w:val="0"/>
      <w:divBdr>
        <w:top w:val="none" w:sz="0" w:space="0" w:color="auto"/>
        <w:left w:val="none" w:sz="0" w:space="0" w:color="auto"/>
        <w:bottom w:val="none" w:sz="0" w:space="0" w:color="auto"/>
        <w:right w:val="none" w:sz="0" w:space="0" w:color="auto"/>
      </w:divBdr>
    </w:div>
    <w:div w:id="1507600586">
      <w:bodyDiv w:val="1"/>
      <w:marLeft w:val="0"/>
      <w:marRight w:val="0"/>
      <w:marTop w:val="0"/>
      <w:marBottom w:val="0"/>
      <w:divBdr>
        <w:top w:val="none" w:sz="0" w:space="0" w:color="auto"/>
        <w:left w:val="none" w:sz="0" w:space="0" w:color="auto"/>
        <w:bottom w:val="none" w:sz="0" w:space="0" w:color="auto"/>
        <w:right w:val="none" w:sz="0" w:space="0" w:color="auto"/>
      </w:divBdr>
    </w:div>
    <w:div w:id="1515074665">
      <w:bodyDiv w:val="1"/>
      <w:marLeft w:val="0"/>
      <w:marRight w:val="0"/>
      <w:marTop w:val="0"/>
      <w:marBottom w:val="0"/>
      <w:divBdr>
        <w:top w:val="none" w:sz="0" w:space="0" w:color="auto"/>
        <w:left w:val="none" w:sz="0" w:space="0" w:color="auto"/>
        <w:bottom w:val="none" w:sz="0" w:space="0" w:color="auto"/>
        <w:right w:val="none" w:sz="0" w:space="0" w:color="auto"/>
      </w:divBdr>
    </w:div>
    <w:div w:id="1592616257">
      <w:bodyDiv w:val="1"/>
      <w:marLeft w:val="0"/>
      <w:marRight w:val="0"/>
      <w:marTop w:val="0"/>
      <w:marBottom w:val="0"/>
      <w:divBdr>
        <w:top w:val="none" w:sz="0" w:space="0" w:color="auto"/>
        <w:left w:val="none" w:sz="0" w:space="0" w:color="auto"/>
        <w:bottom w:val="none" w:sz="0" w:space="0" w:color="auto"/>
        <w:right w:val="none" w:sz="0" w:space="0" w:color="auto"/>
      </w:divBdr>
    </w:div>
    <w:div w:id="1692150189">
      <w:bodyDiv w:val="1"/>
      <w:marLeft w:val="0"/>
      <w:marRight w:val="0"/>
      <w:marTop w:val="0"/>
      <w:marBottom w:val="0"/>
      <w:divBdr>
        <w:top w:val="none" w:sz="0" w:space="0" w:color="auto"/>
        <w:left w:val="none" w:sz="0" w:space="0" w:color="auto"/>
        <w:bottom w:val="none" w:sz="0" w:space="0" w:color="auto"/>
        <w:right w:val="none" w:sz="0" w:space="0" w:color="auto"/>
      </w:divBdr>
    </w:div>
    <w:div w:id="1867325315">
      <w:bodyDiv w:val="1"/>
      <w:marLeft w:val="0"/>
      <w:marRight w:val="0"/>
      <w:marTop w:val="0"/>
      <w:marBottom w:val="0"/>
      <w:divBdr>
        <w:top w:val="none" w:sz="0" w:space="0" w:color="auto"/>
        <w:left w:val="none" w:sz="0" w:space="0" w:color="auto"/>
        <w:bottom w:val="none" w:sz="0" w:space="0" w:color="auto"/>
        <w:right w:val="none" w:sz="0" w:space="0" w:color="auto"/>
      </w:divBdr>
    </w:div>
    <w:div w:id="208294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0.xml"/><Relationship Id="rId39" Type="http://schemas.openxmlformats.org/officeDocument/2006/relationships/image" Target="media/image7.png"/><Relationship Id="rId21" Type="http://schemas.openxmlformats.org/officeDocument/2006/relationships/hyperlink" Target="https://thenounproject.com/" TargetMode="External"/><Relationship Id="rId34" Type="http://schemas.openxmlformats.org/officeDocument/2006/relationships/chart" Target="charts/chart13.xml"/><Relationship Id="rId42" Type="http://schemas.openxmlformats.org/officeDocument/2006/relationships/hyperlink" Target="http://healthindicators.gov/" TargetMode="External"/><Relationship Id="rId47" Type="http://schemas.openxmlformats.org/officeDocument/2006/relationships/hyperlink" Target="http://cares.missouri.edu" TargetMode="External"/><Relationship Id="rId50" Type="http://schemas.openxmlformats.org/officeDocument/2006/relationships/hyperlink" Target="http://www.cde.ca.gov/ta/tg/pf/" TargetMode="External"/><Relationship Id="rId55" Type="http://schemas.openxmlformats.org/officeDocument/2006/relationships/hyperlink" Target="http://www.chis.ucla.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png"/><Relationship Id="rId29" Type="http://schemas.openxmlformats.org/officeDocument/2006/relationships/image" Target="media/image6.png"/><Relationship Id="rId41" Type="http://schemas.openxmlformats.org/officeDocument/2006/relationships/hyperlink" Target="http://healthindicators.gov/" TargetMode="External"/><Relationship Id="rId54" Type="http://schemas.openxmlformats.org/officeDocument/2006/relationships/hyperlink" Target="http://www.cdc.gov/nccdphp/dnpao/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bls.gov/" TargetMode="External"/><Relationship Id="rId32" Type="http://schemas.openxmlformats.org/officeDocument/2006/relationships/hyperlink" Target="https://thenounproject.com/" TargetMode="External"/><Relationship Id="rId37" Type="http://schemas.openxmlformats.org/officeDocument/2006/relationships/chart" Target="charts/chart14.xml"/><Relationship Id="rId40" Type="http://schemas.openxmlformats.org/officeDocument/2006/relationships/hyperlink" Target="http://www.cdc.gov/brfss/" TargetMode="External"/><Relationship Id="rId45" Type="http://schemas.openxmlformats.org/officeDocument/2006/relationships/chart" Target="charts/chart15.xml"/><Relationship Id="rId53" Type="http://schemas.openxmlformats.org/officeDocument/2006/relationships/image" Target="media/image9.png"/><Relationship Id="rId58" Type="http://schemas.openxmlformats.org/officeDocument/2006/relationships/hyperlink" Target="https://thenounproject.com/"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www.census.gov/acs/www/" TargetMode="External"/><Relationship Id="rId28" Type="http://schemas.openxmlformats.org/officeDocument/2006/relationships/hyperlink" Target="http://www.census.gov/acs/www/" TargetMode="External"/><Relationship Id="rId36" Type="http://schemas.openxmlformats.org/officeDocument/2006/relationships/hyperlink" Target="http://healthindicators.gov/" TargetMode="External"/><Relationship Id="rId49" Type="http://schemas.openxmlformats.org/officeDocument/2006/relationships/chart" Target="charts/chart16.xml"/><Relationship Id="rId57" Type="http://schemas.openxmlformats.org/officeDocument/2006/relationships/hyperlink" Target="http://cares.missouri.edu"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yperlink" Target="http://www.census.gov/acs/www/" TargetMode="External"/><Relationship Id="rId44" Type="http://schemas.openxmlformats.org/officeDocument/2006/relationships/hyperlink" Target="https://thenounproject.com/" TargetMode="External"/><Relationship Id="rId52" Type="http://schemas.openxmlformats.org/officeDocument/2006/relationships/hyperlink" Target="http://www.chis.ucla.ed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po.gov/fdsys/pkg/FR-2014-12-31/pdf/2014-30525.pdf" TargetMode="External"/><Relationship Id="rId14" Type="http://schemas.openxmlformats.org/officeDocument/2006/relationships/chart" Target="charts/chart4.xml"/><Relationship Id="rId22" Type="http://schemas.openxmlformats.org/officeDocument/2006/relationships/image" Target="media/image5.png"/><Relationship Id="rId27" Type="http://schemas.openxmlformats.org/officeDocument/2006/relationships/chart" Target="charts/chart11.xml"/><Relationship Id="rId30" Type="http://schemas.openxmlformats.org/officeDocument/2006/relationships/hyperlink" Target="http://portal.hud.gov/hudportal/HUD" TargetMode="External"/><Relationship Id="rId35" Type="http://schemas.openxmlformats.org/officeDocument/2006/relationships/hyperlink" Target="http://www.cdc.gov/brfss/" TargetMode="External"/><Relationship Id="rId43" Type="http://schemas.openxmlformats.org/officeDocument/2006/relationships/image" Target="media/image8.png"/><Relationship Id="rId48" Type="http://schemas.openxmlformats.org/officeDocument/2006/relationships/hyperlink" Target="http://www.cdc.gov/nccdphp/dnpao/index.html" TargetMode="External"/><Relationship Id="rId56" Type="http://schemas.openxmlformats.org/officeDocument/2006/relationships/hyperlink" Target="http://www.census.gov/econ/cbp/" TargetMode="External"/><Relationship Id="rId8" Type="http://schemas.openxmlformats.org/officeDocument/2006/relationships/image" Target="media/image1.jpg"/><Relationship Id="rId51" Type="http://schemas.openxmlformats.org/officeDocument/2006/relationships/hyperlink" Target="http://www.cde.ca.gov/ta/tg/pf/"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9.xml"/><Relationship Id="rId33" Type="http://schemas.openxmlformats.org/officeDocument/2006/relationships/chart" Target="charts/chart12.xml"/><Relationship Id="rId38" Type="http://schemas.openxmlformats.org/officeDocument/2006/relationships/hyperlink" Target="http://www.cms.gov/" TargetMode="External"/><Relationship Id="rId46" Type="http://schemas.openxmlformats.org/officeDocument/2006/relationships/hyperlink" Target="http://www.cdc.gov/brfss/" TargetMode="Externa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601084779604681"/>
          <c:y val="9.4524417680193512E-2"/>
          <c:w val="0.5525339345921022"/>
          <c:h val="0.81095116463961292"/>
        </c:manualLayout>
      </c:layout>
      <c:barChart>
        <c:barDir val="bar"/>
        <c:grouping val="stacked"/>
        <c:varyColors val="0"/>
        <c:ser>
          <c:idx val="0"/>
          <c:order val="0"/>
          <c:tx>
            <c:strRef>
              <c:f>Sheet1!$B$1</c:f>
              <c:strCache>
                <c:ptCount val="1"/>
                <c:pt idx="0">
                  <c:v>Series 1</c:v>
                </c:pt>
              </c:strCache>
            </c:strRef>
          </c:tx>
          <c:spPr>
            <a:solidFill>
              <a:schemeClr val="tx1"/>
            </a:solidFill>
          </c:spPr>
          <c:invertIfNegative val="0"/>
          <c:dPt>
            <c:idx val="2"/>
            <c:invertIfNegative val="0"/>
            <c:bubble3D val="0"/>
            <c:spPr>
              <a:solidFill>
                <a:schemeClr val="accent1"/>
              </a:solidFill>
              <a:ln>
                <a:noFill/>
              </a:ln>
            </c:spPr>
          </c:dPt>
          <c:dPt>
            <c:idx val="3"/>
            <c:invertIfNegative val="0"/>
            <c:bubble3D val="0"/>
            <c:spPr>
              <a:solidFill>
                <a:srgbClr val="BAD004"/>
              </a:solidFill>
            </c:spPr>
          </c:dPt>
          <c:dLbls>
            <c:dLbl>
              <c:idx val="0"/>
              <c:layout>
                <c:manualLayout>
                  <c:x val="0.26327495685288399"/>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25709081189177418"/>
                  <c:y val="8.4064317808131353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4214524490732023"/>
                  <c:y val="-6.6662342098086124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2211229653389419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California </c:v>
                </c:pt>
                <c:pt idx="1">
                  <c:v>S CA MCA</c:v>
                </c:pt>
                <c:pt idx="2">
                  <c:v>KFH-Ontario MCSA</c:v>
                </c:pt>
                <c:pt idx="3">
                  <c:v>KFH-Fontana MCSA</c:v>
                </c:pt>
              </c:strCache>
            </c:strRef>
          </c:cat>
          <c:val>
            <c:numRef>
              <c:f>Sheet1!$B$2:$B$5</c:f>
              <c:numCache>
                <c:formatCode>General</c:formatCode>
                <c:ptCount val="4"/>
                <c:pt idx="0">
                  <c:v>77.5</c:v>
                </c:pt>
                <c:pt idx="1">
                  <c:v>75.900000000000006</c:v>
                </c:pt>
                <c:pt idx="2">
                  <c:v>65.5</c:v>
                </c:pt>
                <c:pt idx="3">
                  <c:v>62.3</c:v>
                </c:pt>
              </c:numCache>
            </c:numRef>
          </c:val>
        </c:ser>
        <c:dLbls>
          <c:showLegendKey val="0"/>
          <c:showVal val="1"/>
          <c:showCatName val="0"/>
          <c:showSerName val="0"/>
          <c:showPercent val="0"/>
          <c:showBubbleSize val="0"/>
        </c:dLbls>
        <c:gapWidth val="150"/>
        <c:overlap val="100"/>
        <c:axId val="491602000"/>
        <c:axId val="491602392"/>
      </c:barChart>
      <c:catAx>
        <c:axId val="491602000"/>
        <c:scaling>
          <c:orientation val="minMax"/>
        </c:scaling>
        <c:delete val="0"/>
        <c:axPos val="l"/>
        <c:numFmt formatCode="General" sourceLinked="0"/>
        <c:majorTickMark val="out"/>
        <c:minorTickMark val="none"/>
        <c:tickLblPos val="nextTo"/>
        <c:txPr>
          <a:bodyPr/>
          <a:lstStyle/>
          <a:p>
            <a:pPr>
              <a:defRPr sz="900"/>
            </a:pPr>
            <a:endParaRPr lang="en-US"/>
          </a:p>
        </c:txPr>
        <c:crossAx val="491602392"/>
        <c:crosses val="autoZero"/>
        <c:auto val="1"/>
        <c:lblAlgn val="ctr"/>
        <c:lblOffset val="100"/>
        <c:noMultiLvlLbl val="0"/>
      </c:catAx>
      <c:valAx>
        <c:axId val="491602392"/>
        <c:scaling>
          <c:orientation val="minMax"/>
        </c:scaling>
        <c:delete val="1"/>
        <c:axPos val="b"/>
        <c:numFmt formatCode="General" sourceLinked="1"/>
        <c:majorTickMark val="out"/>
        <c:minorTickMark val="none"/>
        <c:tickLblPos val="nextTo"/>
        <c:crossAx val="491602000"/>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495535604778373"/>
          <c:y val="8.7301587301587297E-2"/>
          <c:w val="0.39432813304878944"/>
          <c:h val="0.82539682539682535"/>
        </c:manualLayout>
      </c:layout>
      <c:barChart>
        <c:barDir val="bar"/>
        <c:grouping val="clustered"/>
        <c:varyColors val="0"/>
        <c:ser>
          <c:idx val="0"/>
          <c:order val="0"/>
          <c:tx>
            <c:strRef>
              <c:f>Sheet1!$B$1</c:f>
              <c:strCache>
                <c:ptCount val="1"/>
                <c:pt idx="0">
                  <c:v>Series 1</c:v>
                </c:pt>
              </c:strCache>
            </c:strRef>
          </c:tx>
          <c:spPr>
            <a:solidFill>
              <a:schemeClr val="tx1"/>
            </a:solidFill>
          </c:spPr>
          <c:invertIfNegative val="0"/>
          <c:dPt>
            <c:idx val="2"/>
            <c:invertIfNegative val="0"/>
            <c:bubble3D val="0"/>
            <c:spPr>
              <a:solidFill>
                <a:schemeClr val="accent1"/>
              </a:solidFill>
              <a:ln>
                <a:noFill/>
              </a:ln>
            </c:spPr>
          </c:dPt>
          <c:dPt>
            <c:idx val="3"/>
            <c:invertIfNegative val="0"/>
            <c:bubble3D val="0"/>
            <c:spPr>
              <a:solidFill>
                <a:schemeClr val="accent2"/>
              </a:solidFill>
              <a:ln>
                <a:noFill/>
              </a:ln>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California</c:v>
                </c:pt>
                <c:pt idx="1">
                  <c:v>S CA MCA</c:v>
                </c:pt>
                <c:pt idx="2">
                  <c:v>KFH-Ontario MCSA</c:v>
                </c:pt>
                <c:pt idx="3">
                  <c:v>KFH-Fontana MCSA</c:v>
                </c:pt>
              </c:strCache>
            </c:strRef>
          </c:cat>
          <c:val>
            <c:numRef>
              <c:f>Sheet1!$B$2:$B$5</c:f>
              <c:numCache>
                <c:formatCode>0.0%</c:formatCode>
                <c:ptCount val="4"/>
                <c:pt idx="0">
                  <c:v>0.36399999999999999</c:v>
                </c:pt>
                <c:pt idx="1">
                  <c:v>0.38</c:v>
                </c:pt>
                <c:pt idx="2">
                  <c:v>0.34200000000000003</c:v>
                </c:pt>
                <c:pt idx="3">
                  <c:v>0.45700000000000002</c:v>
                </c:pt>
              </c:numCache>
            </c:numRef>
          </c:val>
        </c:ser>
        <c:dLbls>
          <c:showLegendKey val="0"/>
          <c:showVal val="0"/>
          <c:showCatName val="0"/>
          <c:showSerName val="0"/>
          <c:showPercent val="0"/>
          <c:showBubbleSize val="0"/>
        </c:dLbls>
        <c:gapWidth val="150"/>
        <c:axId val="593112920"/>
        <c:axId val="593113312"/>
      </c:barChart>
      <c:catAx>
        <c:axId val="593112920"/>
        <c:scaling>
          <c:orientation val="minMax"/>
        </c:scaling>
        <c:delete val="0"/>
        <c:axPos val="l"/>
        <c:numFmt formatCode="General" sourceLinked="0"/>
        <c:majorTickMark val="out"/>
        <c:minorTickMark val="none"/>
        <c:tickLblPos val="nextTo"/>
        <c:crossAx val="593113312"/>
        <c:crosses val="autoZero"/>
        <c:auto val="1"/>
        <c:lblAlgn val="ctr"/>
        <c:lblOffset val="100"/>
        <c:noMultiLvlLbl val="0"/>
      </c:catAx>
      <c:valAx>
        <c:axId val="593113312"/>
        <c:scaling>
          <c:orientation val="minMax"/>
        </c:scaling>
        <c:delete val="1"/>
        <c:axPos val="b"/>
        <c:numFmt formatCode="0.0%" sourceLinked="1"/>
        <c:majorTickMark val="out"/>
        <c:minorTickMark val="none"/>
        <c:tickLblPos val="nextTo"/>
        <c:crossAx val="593112920"/>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209338239499723"/>
          <c:y val="7.9365079365079361E-2"/>
          <c:w val="0.45374031635876022"/>
          <c:h val="0.84126984126984128"/>
        </c:manualLayout>
      </c:layout>
      <c:barChart>
        <c:barDir val="bar"/>
        <c:grouping val="clustered"/>
        <c:varyColors val="0"/>
        <c:ser>
          <c:idx val="0"/>
          <c:order val="0"/>
          <c:tx>
            <c:strRef>
              <c:f>Sheet1!$B$1</c:f>
              <c:strCache>
                <c:ptCount val="1"/>
                <c:pt idx="0">
                  <c:v>Series 1</c:v>
                </c:pt>
              </c:strCache>
            </c:strRef>
          </c:tx>
          <c:spPr>
            <a:solidFill>
              <a:schemeClr val="tx1"/>
            </a:solidFill>
          </c:spPr>
          <c:invertIfNegative val="0"/>
          <c:dPt>
            <c:idx val="2"/>
            <c:invertIfNegative val="0"/>
            <c:bubble3D val="0"/>
            <c:spPr>
              <a:solidFill>
                <a:schemeClr val="accent1"/>
              </a:solidFill>
            </c:spPr>
          </c:dPt>
          <c:dPt>
            <c:idx val="3"/>
            <c:invertIfNegative val="0"/>
            <c:bubble3D val="0"/>
            <c:spPr>
              <a:solidFill>
                <a:schemeClr val="accent2"/>
              </a:solidFill>
              <a:ln>
                <a:noFill/>
              </a:ln>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California </c:v>
                </c:pt>
                <c:pt idx="1">
                  <c:v>S CA MCA</c:v>
                </c:pt>
                <c:pt idx="2">
                  <c:v>KFH-Ontario MCSA</c:v>
                </c:pt>
                <c:pt idx="3">
                  <c:v>KFH-Fontana MCSA</c:v>
                </c:pt>
              </c:strCache>
            </c:strRef>
          </c:cat>
          <c:val>
            <c:numRef>
              <c:f>Sheet1!$B$2:$B$5</c:f>
              <c:numCache>
                <c:formatCode>0.0%</c:formatCode>
                <c:ptCount val="4"/>
                <c:pt idx="0">
                  <c:v>0.22700000000000001</c:v>
                </c:pt>
                <c:pt idx="1">
                  <c:v>0.23599999999999999</c:v>
                </c:pt>
                <c:pt idx="2">
                  <c:v>0.189</c:v>
                </c:pt>
                <c:pt idx="3">
                  <c:v>0.29199999999999998</c:v>
                </c:pt>
              </c:numCache>
            </c:numRef>
          </c:val>
        </c:ser>
        <c:dLbls>
          <c:showLegendKey val="0"/>
          <c:showVal val="0"/>
          <c:showCatName val="0"/>
          <c:showSerName val="0"/>
          <c:showPercent val="0"/>
          <c:showBubbleSize val="0"/>
        </c:dLbls>
        <c:gapWidth val="150"/>
        <c:axId val="488706616"/>
        <c:axId val="488707008"/>
      </c:barChart>
      <c:catAx>
        <c:axId val="488706616"/>
        <c:scaling>
          <c:orientation val="minMax"/>
        </c:scaling>
        <c:delete val="0"/>
        <c:axPos val="l"/>
        <c:numFmt formatCode="General" sourceLinked="0"/>
        <c:majorTickMark val="out"/>
        <c:minorTickMark val="none"/>
        <c:tickLblPos val="nextTo"/>
        <c:crossAx val="488707008"/>
        <c:crosses val="autoZero"/>
        <c:auto val="1"/>
        <c:lblAlgn val="ctr"/>
        <c:lblOffset val="100"/>
        <c:noMultiLvlLbl val="0"/>
      </c:catAx>
      <c:valAx>
        <c:axId val="488707008"/>
        <c:scaling>
          <c:orientation val="minMax"/>
        </c:scaling>
        <c:delete val="1"/>
        <c:axPos val="b"/>
        <c:numFmt formatCode="0.0%" sourceLinked="1"/>
        <c:majorTickMark val="out"/>
        <c:minorTickMark val="none"/>
        <c:tickLblPos val="nextTo"/>
        <c:crossAx val="488706616"/>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Column2</c:v>
                </c:pt>
              </c:strCache>
            </c:strRef>
          </c:tx>
          <c:spPr>
            <a:solidFill>
              <a:schemeClr val="tx1"/>
            </a:solidFill>
            <a:ln>
              <a:solidFill>
                <a:schemeClr val="tx1"/>
              </a:solidFill>
            </a:ln>
          </c:spPr>
          <c:invertIfNegative val="0"/>
          <c:dPt>
            <c:idx val="0"/>
            <c:invertIfNegative val="0"/>
            <c:bubble3D val="0"/>
            <c:spPr>
              <a:solidFill>
                <a:schemeClr val="accent2"/>
              </a:solidFill>
              <a:ln>
                <a:noFill/>
              </a:ln>
            </c:spPr>
          </c:dPt>
          <c:dPt>
            <c:idx val="1"/>
            <c:invertIfNegative val="0"/>
            <c:bubble3D val="0"/>
            <c:spPr>
              <a:solidFill>
                <a:srgbClr val="49237A"/>
              </a:solidFill>
              <a:ln>
                <a:noFill/>
              </a:ln>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KFH-Fontana MCSA</c:v>
                </c:pt>
                <c:pt idx="1">
                  <c:v>KFH-Ontario MCSA</c:v>
                </c:pt>
                <c:pt idx="2">
                  <c:v>S CA MCA</c:v>
                </c:pt>
                <c:pt idx="3">
                  <c:v>California</c:v>
                </c:pt>
              </c:strCache>
            </c:strRef>
          </c:cat>
          <c:val>
            <c:numRef>
              <c:f>Sheet1!$B$2:$B$5</c:f>
              <c:numCache>
                <c:formatCode>0.0%</c:formatCode>
                <c:ptCount val="4"/>
                <c:pt idx="0">
                  <c:v>0.14599999999999999</c:v>
                </c:pt>
                <c:pt idx="1">
                  <c:v>0.153</c:v>
                </c:pt>
                <c:pt idx="2">
                  <c:v>0.16400000000000001</c:v>
                </c:pt>
                <c:pt idx="3">
                  <c:v>0.159</c:v>
                </c:pt>
              </c:numCache>
            </c:numRef>
          </c:val>
        </c:ser>
        <c:dLbls>
          <c:showLegendKey val="0"/>
          <c:showVal val="0"/>
          <c:showCatName val="0"/>
          <c:showSerName val="0"/>
          <c:showPercent val="0"/>
          <c:showBubbleSize val="0"/>
        </c:dLbls>
        <c:gapWidth val="150"/>
        <c:axId val="480718968"/>
        <c:axId val="480719360"/>
      </c:barChart>
      <c:catAx>
        <c:axId val="480718968"/>
        <c:scaling>
          <c:orientation val="minMax"/>
        </c:scaling>
        <c:delete val="0"/>
        <c:axPos val="b"/>
        <c:numFmt formatCode="General" sourceLinked="0"/>
        <c:majorTickMark val="out"/>
        <c:minorTickMark val="none"/>
        <c:tickLblPos val="nextTo"/>
        <c:crossAx val="480719360"/>
        <c:crosses val="autoZero"/>
        <c:auto val="1"/>
        <c:lblAlgn val="ctr"/>
        <c:lblOffset val="100"/>
        <c:noMultiLvlLbl val="0"/>
      </c:catAx>
      <c:valAx>
        <c:axId val="480719360"/>
        <c:scaling>
          <c:orientation val="minMax"/>
        </c:scaling>
        <c:delete val="1"/>
        <c:axPos val="l"/>
        <c:majorGridlines>
          <c:spPr>
            <a:ln>
              <a:noFill/>
            </a:ln>
          </c:spPr>
        </c:majorGridlines>
        <c:numFmt formatCode="0.0%" sourceLinked="1"/>
        <c:majorTickMark val="out"/>
        <c:minorTickMark val="none"/>
        <c:tickLblPos val="nextTo"/>
        <c:crossAx val="480718968"/>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80784485859573"/>
          <c:y val="0.11137629276054097"/>
          <c:w val="0.43092131738264972"/>
          <c:h val="0.8256172829874493"/>
        </c:manualLayout>
      </c:layout>
      <c:barChart>
        <c:barDir val="bar"/>
        <c:grouping val="clustered"/>
        <c:varyColors val="0"/>
        <c:ser>
          <c:idx val="0"/>
          <c:order val="0"/>
          <c:tx>
            <c:strRef>
              <c:f>Sheet1!$B$1</c:f>
              <c:strCache>
                <c:ptCount val="1"/>
                <c:pt idx="0">
                  <c:v>Series 1</c:v>
                </c:pt>
              </c:strCache>
            </c:strRef>
          </c:tx>
          <c:spPr>
            <a:solidFill>
              <a:schemeClr val="tx1"/>
            </a:solidFill>
          </c:spPr>
          <c:invertIfNegative val="0"/>
          <c:dPt>
            <c:idx val="2"/>
            <c:invertIfNegative val="0"/>
            <c:bubble3D val="0"/>
            <c:spPr>
              <a:solidFill>
                <a:schemeClr val="accent1"/>
              </a:solidFill>
              <a:ln>
                <a:noFill/>
              </a:ln>
            </c:spPr>
          </c:dPt>
          <c:dPt>
            <c:idx val="3"/>
            <c:invertIfNegative val="0"/>
            <c:bubble3D val="0"/>
            <c:spPr>
              <a:solidFill>
                <a:srgbClr val="BAD004"/>
              </a:solidFill>
              <a:ln>
                <a:noFill/>
              </a:ln>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California</c:v>
                </c:pt>
                <c:pt idx="1">
                  <c:v>S CA MCA</c:v>
                </c:pt>
                <c:pt idx="2">
                  <c:v>KFH-Ontario MCSA</c:v>
                </c:pt>
                <c:pt idx="3">
                  <c:v>KFH-Fontana MCSA</c:v>
                </c:pt>
              </c:strCache>
            </c:strRef>
          </c:cat>
          <c:val>
            <c:numRef>
              <c:f>Sheet1!$B$2:$B$5</c:f>
              <c:numCache>
                <c:formatCode>General</c:formatCode>
                <c:ptCount val="4"/>
                <c:pt idx="0">
                  <c:v>3.6</c:v>
                </c:pt>
                <c:pt idx="1">
                  <c:v>3.7</c:v>
                </c:pt>
                <c:pt idx="2">
                  <c:v>4</c:v>
                </c:pt>
                <c:pt idx="3">
                  <c:v>4.0999999999999996</c:v>
                </c:pt>
              </c:numCache>
            </c:numRef>
          </c:val>
        </c:ser>
        <c:dLbls>
          <c:dLblPos val="outEnd"/>
          <c:showLegendKey val="0"/>
          <c:showVal val="1"/>
          <c:showCatName val="0"/>
          <c:showSerName val="0"/>
          <c:showPercent val="0"/>
          <c:showBubbleSize val="0"/>
        </c:dLbls>
        <c:gapWidth val="150"/>
        <c:axId val="480720144"/>
        <c:axId val="480720536"/>
      </c:barChart>
      <c:catAx>
        <c:axId val="480720144"/>
        <c:scaling>
          <c:orientation val="minMax"/>
        </c:scaling>
        <c:delete val="0"/>
        <c:axPos val="l"/>
        <c:numFmt formatCode="General" sourceLinked="0"/>
        <c:majorTickMark val="out"/>
        <c:minorTickMark val="none"/>
        <c:tickLblPos val="nextTo"/>
        <c:crossAx val="480720536"/>
        <c:crosses val="autoZero"/>
        <c:auto val="1"/>
        <c:lblAlgn val="ctr"/>
        <c:lblOffset val="100"/>
        <c:noMultiLvlLbl val="0"/>
      </c:catAx>
      <c:valAx>
        <c:axId val="480720536"/>
        <c:scaling>
          <c:orientation val="minMax"/>
        </c:scaling>
        <c:delete val="1"/>
        <c:axPos val="b"/>
        <c:numFmt formatCode="General" sourceLinked="1"/>
        <c:majorTickMark val="out"/>
        <c:minorTickMark val="none"/>
        <c:tickLblPos val="nextTo"/>
        <c:crossAx val="480720144"/>
        <c:crosses val="autoZero"/>
        <c:crossBetween val="between"/>
      </c:valAx>
      <c:spPr>
        <a:noFill/>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Column2</c:v>
                </c:pt>
              </c:strCache>
            </c:strRef>
          </c:tx>
          <c:spPr>
            <a:solidFill>
              <a:schemeClr val="tx1"/>
            </a:solidFill>
            <a:ln>
              <a:solidFill>
                <a:schemeClr val="tx1"/>
              </a:solidFill>
            </a:ln>
          </c:spPr>
          <c:invertIfNegative val="0"/>
          <c:dPt>
            <c:idx val="0"/>
            <c:invertIfNegative val="0"/>
            <c:bubble3D val="0"/>
            <c:spPr>
              <a:solidFill>
                <a:schemeClr val="accent2"/>
              </a:solidFill>
              <a:ln>
                <a:noFill/>
              </a:ln>
            </c:spPr>
          </c:dPt>
          <c:dPt>
            <c:idx val="1"/>
            <c:invertIfNegative val="0"/>
            <c:bubble3D val="0"/>
            <c:spPr>
              <a:solidFill>
                <a:srgbClr val="49237A"/>
              </a:solidFill>
              <a:ln>
                <a:noFill/>
              </a:ln>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KFH-Fontana MCSA</c:v>
                </c:pt>
                <c:pt idx="1">
                  <c:v>KFH-Ontario MCSA</c:v>
                </c:pt>
                <c:pt idx="2">
                  <c:v>S CA MCA</c:v>
                </c:pt>
                <c:pt idx="3">
                  <c:v>California</c:v>
                </c:pt>
              </c:strCache>
            </c:strRef>
          </c:cat>
          <c:val>
            <c:numRef>
              <c:f>Sheet1!$B$2:$B$5</c:f>
              <c:numCache>
                <c:formatCode>0.0%</c:formatCode>
                <c:ptCount val="4"/>
                <c:pt idx="0">
                  <c:v>0.13400000000000001</c:v>
                </c:pt>
                <c:pt idx="1">
                  <c:v>0.13800000000000001</c:v>
                </c:pt>
                <c:pt idx="2">
                  <c:v>0.14000000000000001</c:v>
                </c:pt>
                <c:pt idx="3">
                  <c:v>0.13400000000000001</c:v>
                </c:pt>
              </c:numCache>
            </c:numRef>
          </c:val>
        </c:ser>
        <c:dLbls>
          <c:showLegendKey val="0"/>
          <c:showVal val="0"/>
          <c:showCatName val="0"/>
          <c:showSerName val="0"/>
          <c:showPercent val="0"/>
          <c:showBubbleSize val="0"/>
        </c:dLbls>
        <c:gapWidth val="150"/>
        <c:axId val="488712760"/>
        <c:axId val="488713152"/>
      </c:barChart>
      <c:catAx>
        <c:axId val="488712760"/>
        <c:scaling>
          <c:orientation val="minMax"/>
        </c:scaling>
        <c:delete val="0"/>
        <c:axPos val="b"/>
        <c:numFmt formatCode="General" sourceLinked="0"/>
        <c:majorTickMark val="out"/>
        <c:minorTickMark val="none"/>
        <c:tickLblPos val="nextTo"/>
        <c:crossAx val="488713152"/>
        <c:crosses val="autoZero"/>
        <c:auto val="1"/>
        <c:lblAlgn val="ctr"/>
        <c:lblOffset val="100"/>
        <c:noMultiLvlLbl val="0"/>
      </c:catAx>
      <c:valAx>
        <c:axId val="488713152"/>
        <c:scaling>
          <c:orientation val="minMax"/>
        </c:scaling>
        <c:delete val="1"/>
        <c:axPos val="l"/>
        <c:majorGridlines>
          <c:spPr>
            <a:ln>
              <a:noFill/>
            </a:ln>
          </c:spPr>
        </c:majorGridlines>
        <c:numFmt formatCode="0.0%" sourceLinked="1"/>
        <c:majorTickMark val="out"/>
        <c:minorTickMark val="none"/>
        <c:tickLblPos val="nextTo"/>
        <c:crossAx val="488712760"/>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029955494693597E-2"/>
          <c:y val="0.10239233139335843"/>
          <c:w val="0.95098453725892962"/>
          <c:h val="0.59666968458211023"/>
        </c:manualLayout>
      </c:layout>
      <c:barChart>
        <c:barDir val="col"/>
        <c:grouping val="stacked"/>
        <c:varyColors val="0"/>
        <c:ser>
          <c:idx val="0"/>
          <c:order val="0"/>
          <c:tx>
            <c:strRef>
              <c:f>Sheet1!$B$1</c:f>
              <c:strCache>
                <c:ptCount val="1"/>
                <c:pt idx="0">
                  <c:v>Obesity</c:v>
                </c:pt>
              </c:strCache>
            </c:strRef>
          </c:tx>
          <c:spPr>
            <a:solidFill>
              <a:schemeClr val="tx1"/>
            </a:solidFill>
          </c:spPr>
          <c:invertIfNegative val="0"/>
          <c:dPt>
            <c:idx val="0"/>
            <c:invertIfNegative val="0"/>
            <c:bubble3D val="0"/>
            <c:spPr>
              <a:solidFill>
                <a:srgbClr val="BAD004"/>
              </a:solidFill>
            </c:spPr>
          </c:dPt>
          <c:dPt>
            <c:idx val="1"/>
            <c:invertIfNegative val="0"/>
            <c:bubble3D val="0"/>
            <c:spPr>
              <a:solidFill>
                <a:srgbClr val="49237A"/>
              </a:solidFill>
            </c:spPr>
          </c:dPt>
          <c:dLbls>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KFH-Fontana MCSA</c:v>
                </c:pt>
                <c:pt idx="1">
                  <c:v>KFH-Ontario MCSA</c:v>
                </c:pt>
                <c:pt idx="2">
                  <c:v>S CA MCA</c:v>
                </c:pt>
                <c:pt idx="3">
                  <c:v>California</c:v>
                </c:pt>
              </c:strCache>
            </c:strRef>
          </c:cat>
          <c:val>
            <c:numRef>
              <c:f>Sheet1!$B$2:$B$5</c:f>
              <c:numCache>
                <c:formatCode>0.0%</c:formatCode>
                <c:ptCount val="4"/>
                <c:pt idx="0">
                  <c:v>0.28199999999999997</c:v>
                </c:pt>
                <c:pt idx="1">
                  <c:v>0.26800000000000002</c:v>
                </c:pt>
                <c:pt idx="2">
                  <c:v>0.218</c:v>
                </c:pt>
                <c:pt idx="3">
                  <c:v>0.223</c:v>
                </c:pt>
              </c:numCache>
            </c:numRef>
          </c:val>
        </c:ser>
        <c:ser>
          <c:idx val="1"/>
          <c:order val="1"/>
          <c:tx>
            <c:strRef>
              <c:f>Sheet1!$C$1</c:f>
              <c:strCache>
                <c:ptCount val="1"/>
                <c:pt idx="0">
                  <c:v>Overweight</c:v>
                </c:pt>
              </c:strCache>
            </c:strRef>
          </c:tx>
          <c:spPr>
            <a:solidFill>
              <a:schemeClr val="bg2">
                <a:lumMod val="85000"/>
              </a:schemeClr>
            </a:solidFill>
          </c:spPr>
          <c:invertIfNegative val="0"/>
          <c:dPt>
            <c:idx val="0"/>
            <c:invertIfNegative val="0"/>
            <c:bubble3D val="0"/>
            <c:spPr>
              <a:solidFill>
                <a:srgbClr val="9BBB59">
                  <a:lumMod val="40000"/>
                  <a:lumOff val="60000"/>
                </a:srgbClr>
              </a:solidFill>
            </c:spPr>
          </c:dPt>
          <c:dPt>
            <c:idx val="1"/>
            <c:invertIfNegative val="0"/>
            <c:bubble3D val="0"/>
            <c:spPr>
              <a:solidFill>
                <a:srgbClr val="8064A2">
                  <a:lumMod val="40000"/>
                  <a:lumOff val="60000"/>
                </a:srgbClr>
              </a:solidFill>
            </c:spPr>
          </c:dPt>
          <c:dLbls>
            <c:spPr>
              <a:noFill/>
              <a:ln>
                <a:noFill/>
              </a:ln>
              <a:effectLst/>
            </c:spPr>
            <c:txPr>
              <a:bodyPr/>
              <a:lstStyle/>
              <a:p>
                <a:pPr>
                  <a:defRPr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KFH-Fontana MCSA</c:v>
                </c:pt>
                <c:pt idx="1">
                  <c:v>KFH-Ontario MCSA</c:v>
                </c:pt>
                <c:pt idx="2">
                  <c:v>S CA MCA</c:v>
                </c:pt>
                <c:pt idx="3">
                  <c:v>California</c:v>
                </c:pt>
              </c:strCache>
            </c:strRef>
          </c:cat>
          <c:val>
            <c:numRef>
              <c:f>Sheet1!$C$2:$C$5</c:f>
              <c:numCache>
                <c:formatCode>0.0%</c:formatCode>
                <c:ptCount val="4"/>
                <c:pt idx="0">
                  <c:v>0.36499999999999999</c:v>
                </c:pt>
                <c:pt idx="1">
                  <c:v>0.36399999999999999</c:v>
                </c:pt>
                <c:pt idx="2">
                  <c:v>0.36099999999999999</c:v>
                </c:pt>
                <c:pt idx="3">
                  <c:v>0.35799999999999998</c:v>
                </c:pt>
              </c:numCache>
            </c:numRef>
          </c:val>
        </c:ser>
        <c:dLbls>
          <c:showLegendKey val="0"/>
          <c:showVal val="0"/>
          <c:showCatName val="0"/>
          <c:showSerName val="0"/>
          <c:showPercent val="0"/>
          <c:showBubbleSize val="0"/>
        </c:dLbls>
        <c:gapWidth val="150"/>
        <c:overlap val="100"/>
        <c:axId val="490317432"/>
        <c:axId val="490317824"/>
      </c:barChart>
      <c:catAx>
        <c:axId val="490317432"/>
        <c:scaling>
          <c:orientation val="minMax"/>
        </c:scaling>
        <c:delete val="0"/>
        <c:axPos val="b"/>
        <c:numFmt formatCode="General" sourceLinked="0"/>
        <c:majorTickMark val="out"/>
        <c:minorTickMark val="none"/>
        <c:tickLblPos val="nextTo"/>
        <c:crossAx val="490317824"/>
        <c:crosses val="autoZero"/>
        <c:auto val="1"/>
        <c:lblAlgn val="ctr"/>
        <c:lblOffset val="100"/>
        <c:noMultiLvlLbl val="0"/>
      </c:catAx>
      <c:valAx>
        <c:axId val="490317824"/>
        <c:scaling>
          <c:orientation val="minMax"/>
        </c:scaling>
        <c:delete val="1"/>
        <c:axPos val="l"/>
        <c:numFmt formatCode="0.0%" sourceLinked="1"/>
        <c:majorTickMark val="out"/>
        <c:minorTickMark val="none"/>
        <c:tickLblPos val="nextTo"/>
        <c:crossAx val="490317432"/>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chemeClr val="tx1"/>
            </a:solidFill>
          </c:spPr>
          <c:invertIfNegative val="0"/>
          <c:dPt>
            <c:idx val="2"/>
            <c:invertIfNegative val="0"/>
            <c:bubble3D val="0"/>
            <c:spPr>
              <a:solidFill>
                <a:schemeClr val="accent1"/>
              </a:solidFill>
              <a:ln>
                <a:noFill/>
              </a:ln>
            </c:spPr>
          </c:dPt>
          <c:dPt>
            <c:idx val="3"/>
            <c:invertIfNegative val="0"/>
            <c:bubble3D val="0"/>
            <c:spPr>
              <a:solidFill>
                <a:srgbClr val="BAD004"/>
              </a:solidFill>
              <a:ln>
                <a:noFill/>
              </a:ln>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California </c:v>
                </c:pt>
                <c:pt idx="1">
                  <c:v>S CA MCA</c:v>
                </c:pt>
                <c:pt idx="2">
                  <c:v>KFH-Ontario MCSA</c:v>
                </c:pt>
                <c:pt idx="3">
                  <c:v>KFH-Fontana MCSA</c:v>
                </c:pt>
              </c:strCache>
            </c:strRef>
          </c:cat>
          <c:val>
            <c:numRef>
              <c:f>Sheet1!$B$2:$B$5</c:f>
              <c:numCache>
                <c:formatCode>0.0%</c:formatCode>
                <c:ptCount val="4"/>
                <c:pt idx="0">
                  <c:v>8.1000000000000003E-2</c:v>
                </c:pt>
                <c:pt idx="1">
                  <c:v>8.2000000000000003E-2</c:v>
                </c:pt>
                <c:pt idx="2">
                  <c:v>9.1999999999999998E-2</c:v>
                </c:pt>
                <c:pt idx="3">
                  <c:v>9.5000000000000001E-2</c:v>
                </c:pt>
              </c:numCache>
            </c:numRef>
          </c:val>
        </c:ser>
        <c:dLbls>
          <c:showLegendKey val="0"/>
          <c:showVal val="0"/>
          <c:showCatName val="0"/>
          <c:showSerName val="0"/>
          <c:showPercent val="0"/>
          <c:showBubbleSize val="0"/>
        </c:dLbls>
        <c:gapWidth val="150"/>
        <c:axId val="490318608"/>
        <c:axId val="490319000"/>
      </c:barChart>
      <c:catAx>
        <c:axId val="490318608"/>
        <c:scaling>
          <c:orientation val="minMax"/>
        </c:scaling>
        <c:delete val="0"/>
        <c:axPos val="l"/>
        <c:numFmt formatCode="General" sourceLinked="0"/>
        <c:majorTickMark val="out"/>
        <c:minorTickMark val="none"/>
        <c:tickLblPos val="nextTo"/>
        <c:crossAx val="490319000"/>
        <c:crosses val="autoZero"/>
        <c:auto val="1"/>
        <c:lblAlgn val="ctr"/>
        <c:lblOffset val="100"/>
        <c:noMultiLvlLbl val="0"/>
      </c:catAx>
      <c:valAx>
        <c:axId val="490319000"/>
        <c:scaling>
          <c:orientation val="minMax"/>
        </c:scaling>
        <c:delete val="1"/>
        <c:axPos val="b"/>
        <c:numFmt formatCode="0.0%" sourceLinked="1"/>
        <c:majorTickMark val="out"/>
        <c:minorTickMark val="none"/>
        <c:tickLblPos val="nextTo"/>
        <c:crossAx val="49031860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Series 1</c:v>
                </c:pt>
              </c:strCache>
            </c:strRef>
          </c:tx>
          <c:spPr>
            <a:solidFill>
              <a:schemeClr val="tx1"/>
            </a:solidFill>
          </c:spPr>
          <c:invertIfNegative val="0"/>
          <c:dPt>
            <c:idx val="2"/>
            <c:invertIfNegative val="0"/>
            <c:bubble3D val="0"/>
            <c:spPr>
              <a:solidFill>
                <a:schemeClr val="accent1"/>
              </a:solidFill>
              <a:ln>
                <a:noFill/>
              </a:ln>
            </c:spPr>
          </c:dPt>
          <c:dPt>
            <c:idx val="3"/>
            <c:invertIfNegative val="0"/>
            <c:bubble3D val="0"/>
            <c:spPr>
              <a:solidFill>
                <a:srgbClr val="BAD004"/>
              </a:solidFill>
            </c:spPr>
          </c:dPt>
          <c:dLbls>
            <c:dLbl>
              <c:idx val="0"/>
              <c:layout>
                <c:manualLayout>
                  <c:x val="0.2728023731625413"/>
                  <c:y val="-8.8477326117670663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26523287228392639"/>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1537375151483382"/>
                  <c:y val="9.896920431713618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21133298776524409"/>
                  <c:y val="1.6563146997929608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California </c:v>
                </c:pt>
                <c:pt idx="1">
                  <c:v>S CA MCA</c:v>
                </c:pt>
                <c:pt idx="2">
                  <c:v>KFH-Ontario MCSA</c:v>
                </c:pt>
                <c:pt idx="3">
                  <c:v>KFH-Fontana MCSA</c:v>
                </c:pt>
              </c:strCache>
            </c:strRef>
          </c:cat>
          <c:val>
            <c:numRef>
              <c:f>Sheet1!$B$2:$B$5</c:f>
              <c:numCache>
                <c:formatCode>General</c:formatCode>
                <c:ptCount val="4"/>
                <c:pt idx="0">
                  <c:v>77.2</c:v>
                </c:pt>
                <c:pt idx="1">
                  <c:v>70.599999999999994</c:v>
                </c:pt>
                <c:pt idx="2">
                  <c:v>59.7</c:v>
                </c:pt>
                <c:pt idx="3">
                  <c:v>56.5</c:v>
                </c:pt>
              </c:numCache>
            </c:numRef>
          </c:val>
        </c:ser>
        <c:dLbls>
          <c:showLegendKey val="0"/>
          <c:showVal val="1"/>
          <c:showCatName val="0"/>
          <c:showSerName val="0"/>
          <c:showPercent val="0"/>
          <c:showBubbleSize val="0"/>
        </c:dLbls>
        <c:gapWidth val="150"/>
        <c:overlap val="100"/>
        <c:axId val="491603176"/>
        <c:axId val="488108672"/>
      </c:barChart>
      <c:catAx>
        <c:axId val="491603176"/>
        <c:scaling>
          <c:orientation val="minMax"/>
        </c:scaling>
        <c:delete val="0"/>
        <c:axPos val="l"/>
        <c:numFmt formatCode="General" sourceLinked="0"/>
        <c:majorTickMark val="out"/>
        <c:minorTickMark val="none"/>
        <c:tickLblPos val="nextTo"/>
        <c:crossAx val="488108672"/>
        <c:crosses val="autoZero"/>
        <c:auto val="1"/>
        <c:lblAlgn val="ctr"/>
        <c:lblOffset val="100"/>
        <c:noMultiLvlLbl val="0"/>
      </c:catAx>
      <c:valAx>
        <c:axId val="488108672"/>
        <c:scaling>
          <c:orientation val="minMax"/>
        </c:scaling>
        <c:delete val="1"/>
        <c:axPos val="b"/>
        <c:numFmt formatCode="General" sourceLinked="1"/>
        <c:majorTickMark val="out"/>
        <c:minorTickMark val="none"/>
        <c:tickLblPos val="nextTo"/>
        <c:crossAx val="491603176"/>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045491570606966"/>
          <c:y val="9.1097308488612833E-2"/>
          <c:w val="0.50810982482988998"/>
          <c:h val="0.81780538302277428"/>
        </c:manualLayout>
      </c:layout>
      <c:barChart>
        <c:barDir val="bar"/>
        <c:grouping val="stacked"/>
        <c:varyColors val="0"/>
        <c:ser>
          <c:idx val="0"/>
          <c:order val="0"/>
          <c:tx>
            <c:strRef>
              <c:f>Sheet1!$B$1</c:f>
              <c:strCache>
                <c:ptCount val="1"/>
                <c:pt idx="0">
                  <c:v>Series 1</c:v>
                </c:pt>
              </c:strCache>
            </c:strRef>
          </c:tx>
          <c:spPr>
            <a:solidFill>
              <a:schemeClr val="tx1"/>
            </a:solidFill>
          </c:spPr>
          <c:invertIfNegative val="0"/>
          <c:dPt>
            <c:idx val="2"/>
            <c:invertIfNegative val="0"/>
            <c:bubble3D val="0"/>
            <c:spPr>
              <a:solidFill>
                <a:schemeClr val="accent1"/>
              </a:solidFill>
              <a:ln>
                <a:noFill/>
              </a:ln>
            </c:spPr>
          </c:dPt>
          <c:dPt>
            <c:idx val="3"/>
            <c:invertIfNegative val="0"/>
            <c:bubble3D val="0"/>
            <c:spPr>
              <a:solidFill>
                <a:srgbClr val="BAD004"/>
              </a:solidFill>
              <a:ln>
                <a:noFill/>
              </a:ln>
            </c:spPr>
          </c:dPt>
          <c:dLbls>
            <c:dLbl>
              <c:idx val="0"/>
              <c:layout>
                <c:manualLayout>
                  <c:x val="0.21168744189108024"/>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2222222222222222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4203325681468499"/>
                  <c:y val="-6.6663406204658824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25730994152046782"/>
                  <c:y val="1.5277601289623993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California </c:v>
                </c:pt>
                <c:pt idx="1">
                  <c:v>S CA MCA</c:v>
                </c:pt>
                <c:pt idx="2">
                  <c:v>KFH-Ontario MCSA</c:v>
                </c:pt>
                <c:pt idx="3">
                  <c:v>KFH-Fontana MCSA</c:v>
                </c:pt>
              </c:strCache>
            </c:strRef>
          </c:cat>
          <c:val>
            <c:numRef>
              <c:f>Sheet1!$B$2:$B$5</c:f>
              <c:numCache>
                <c:formatCode>0.0%</c:formatCode>
                <c:ptCount val="4"/>
                <c:pt idx="0">
                  <c:v>0.16689999999999999</c:v>
                </c:pt>
                <c:pt idx="1">
                  <c:v>0.1888</c:v>
                </c:pt>
                <c:pt idx="2">
                  <c:v>0.17879999999999999</c:v>
                </c:pt>
                <c:pt idx="3">
                  <c:v>0.20150000000000001</c:v>
                </c:pt>
              </c:numCache>
            </c:numRef>
          </c:val>
        </c:ser>
        <c:dLbls>
          <c:showLegendKey val="0"/>
          <c:showVal val="1"/>
          <c:showCatName val="0"/>
          <c:showSerName val="0"/>
          <c:showPercent val="0"/>
          <c:showBubbleSize val="0"/>
        </c:dLbls>
        <c:gapWidth val="150"/>
        <c:overlap val="100"/>
        <c:axId val="488109456"/>
        <c:axId val="488109848"/>
      </c:barChart>
      <c:catAx>
        <c:axId val="488109456"/>
        <c:scaling>
          <c:orientation val="minMax"/>
        </c:scaling>
        <c:delete val="0"/>
        <c:axPos val="l"/>
        <c:numFmt formatCode="General" sourceLinked="0"/>
        <c:majorTickMark val="out"/>
        <c:minorTickMark val="none"/>
        <c:tickLblPos val="nextTo"/>
        <c:crossAx val="488109848"/>
        <c:crosses val="autoZero"/>
        <c:auto val="1"/>
        <c:lblAlgn val="ctr"/>
        <c:lblOffset val="100"/>
        <c:noMultiLvlLbl val="0"/>
      </c:catAx>
      <c:valAx>
        <c:axId val="488109848"/>
        <c:scaling>
          <c:orientation val="minMax"/>
        </c:scaling>
        <c:delete val="1"/>
        <c:axPos val="b"/>
        <c:numFmt formatCode="0.0%" sourceLinked="1"/>
        <c:majorTickMark val="out"/>
        <c:minorTickMark val="none"/>
        <c:tickLblPos val="nextTo"/>
        <c:crossAx val="488109456"/>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03491954809997"/>
          <c:y val="9.2827004219409287E-2"/>
          <c:w val="0.46745300315721405"/>
          <c:h val="0.86497890295358648"/>
        </c:manualLayout>
      </c:layout>
      <c:barChart>
        <c:barDir val="bar"/>
        <c:grouping val="stacked"/>
        <c:varyColors val="0"/>
        <c:ser>
          <c:idx val="0"/>
          <c:order val="0"/>
          <c:tx>
            <c:strRef>
              <c:f>Sheet1!$B$1</c:f>
              <c:strCache>
                <c:ptCount val="1"/>
                <c:pt idx="0">
                  <c:v>Series 1</c:v>
                </c:pt>
              </c:strCache>
            </c:strRef>
          </c:tx>
          <c:spPr>
            <a:solidFill>
              <a:schemeClr val="tx1"/>
            </a:solidFill>
          </c:spPr>
          <c:invertIfNegative val="0"/>
          <c:dPt>
            <c:idx val="2"/>
            <c:invertIfNegative val="0"/>
            <c:bubble3D val="0"/>
            <c:spPr>
              <a:solidFill>
                <a:schemeClr val="accent1"/>
              </a:solidFill>
              <a:ln>
                <a:noFill/>
              </a:ln>
            </c:spPr>
          </c:dPt>
          <c:dPt>
            <c:idx val="3"/>
            <c:invertIfNegative val="0"/>
            <c:bubble3D val="0"/>
            <c:spPr>
              <a:solidFill>
                <a:srgbClr val="BAD004"/>
              </a:solidFill>
            </c:spPr>
          </c:dPt>
          <c:dLbls>
            <c:dLbl>
              <c:idx val="0"/>
              <c:layout>
                <c:manualLayout>
                  <c:x val="0.26184418170299245"/>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2222222222222222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7933723196881091"/>
                  <c:y val="-6.6666666666666671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20715325944758473"/>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California </c:v>
                </c:pt>
                <c:pt idx="1">
                  <c:v>S CA MCA</c:v>
                </c:pt>
                <c:pt idx="2">
                  <c:v>KFH-Ontario MCSA</c:v>
                </c:pt>
                <c:pt idx="3">
                  <c:v>KFH-Fontana MCSA</c:v>
                </c:pt>
              </c:strCache>
            </c:strRef>
          </c:cat>
          <c:val>
            <c:numRef>
              <c:f>Sheet1!$B$2:$B$5</c:f>
              <c:numCache>
                <c:formatCode>0.0</c:formatCode>
                <c:ptCount val="4"/>
                <c:pt idx="0">
                  <c:v>157</c:v>
                </c:pt>
                <c:pt idx="1">
                  <c:v>133.69999999999999</c:v>
                </c:pt>
                <c:pt idx="2">
                  <c:v>105.4</c:v>
                </c:pt>
                <c:pt idx="3">
                  <c:v>94.6</c:v>
                </c:pt>
              </c:numCache>
            </c:numRef>
          </c:val>
        </c:ser>
        <c:dLbls>
          <c:showLegendKey val="0"/>
          <c:showVal val="1"/>
          <c:showCatName val="0"/>
          <c:showSerName val="0"/>
          <c:showPercent val="0"/>
          <c:showBubbleSize val="0"/>
        </c:dLbls>
        <c:gapWidth val="150"/>
        <c:overlap val="100"/>
        <c:axId val="489091016"/>
        <c:axId val="489091408"/>
      </c:barChart>
      <c:catAx>
        <c:axId val="489091016"/>
        <c:scaling>
          <c:orientation val="minMax"/>
        </c:scaling>
        <c:delete val="0"/>
        <c:axPos val="l"/>
        <c:numFmt formatCode="General" sourceLinked="0"/>
        <c:majorTickMark val="out"/>
        <c:minorTickMark val="none"/>
        <c:tickLblPos val="nextTo"/>
        <c:crossAx val="489091408"/>
        <c:crosses val="autoZero"/>
        <c:auto val="1"/>
        <c:lblAlgn val="ctr"/>
        <c:lblOffset val="100"/>
        <c:noMultiLvlLbl val="0"/>
      </c:catAx>
      <c:valAx>
        <c:axId val="489091408"/>
        <c:scaling>
          <c:orientation val="minMax"/>
        </c:scaling>
        <c:delete val="1"/>
        <c:axPos val="b"/>
        <c:numFmt formatCode="0.0" sourceLinked="1"/>
        <c:majorTickMark val="out"/>
        <c:minorTickMark val="none"/>
        <c:tickLblPos val="nextTo"/>
        <c:crossAx val="489091016"/>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Column2</c:v>
                </c:pt>
              </c:strCache>
            </c:strRef>
          </c:tx>
          <c:spPr>
            <a:solidFill>
              <a:schemeClr val="tx1"/>
            </a:solidFill>
            <a:ln>
              <a:solidFill>
                <a:schemeClr val="accent1"/>
              </a:solidFill>
            </a:ln>
          </c:spPr>
          <c:invertIfNegative val="0"/>
          <c:dPt>
            <c:idx val="0"/>
            <c:invertIfNegative val="0"/>
            <c:bubble3D val="0"/>
            <c:spPr>
              <a:solidFill>
                <a:schemeClr val="accent2"/>
              </a:solidFill>
              <a:ln>
                <a:noFill/>
              </a:ln>
            </c:spPr>
          </c:dPt>
          <c:dPt>
            <c:idx val="1"/>
            <c:invertIfNegative val="0"/>
            <c:bubble3D val="0"/>
            <c:spPr>
              <a:solidFill>
                <a:srgbClr val="49237A"/>
              </a:solidFill>
              <a:ln>
                <a:noFill/>
              </a:ln>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KFH-Fontana MCSA</c:v>
                </c:pt>
                <c:pt idx="1">
                  <c:v>KFH-Ontario MCSA</c:v>
                </c:pt>
                <c:pt idx="2">
                  <c:v>S CA MCA</c:v>
                </c:pt>
                <c:pt idx="3">
                  <c:v>California</c:v>
                </c:pt>
              </c:strCache>
            </c:strRef>
          </c:cat>
          <c:val>
            <c:numRef>
              <c:f>Sheet1!$B$2:$B$5</c:f>
              <c:numCache>
                <c:formatCode>0.0%</c:formatCode>
                <c:ptCount val="4"/>
                <c:pt idx="0">
                  <c:v>0.33610000000000001</c:v>
                </c:pt>
                <c:pt idx="1">
                  <c:v>0.218</c:v>
                </c:pt>
                <c:pt idx="2">
                  <c:v>0.252</c:v>
                </c:pt>
                <c:pt idx="3">
                  <c:v>0.24399999999999999</c:v>
                </c:pt>
              </c:numCache>
            </c:numRef>
          </c:val>
        </c:ser>
        <c:dLbls>
          <c:showLegendKey val="0"/>
          <c:showVal val="0"/>
          <c:showCatName val="0"/>
          <c:showSerName val="0"/>
          <c:showPercent val="0"/>
          <c:showBubbleSize val="0"/>
        </c:dLbls>
        <c:gapWidth val="150"/>
        <c:axId val="489092192"/>
        <c:axId val="489092584"/>
      </c:barChart>
      <c:catAx>
        <c:axId val="48909219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489092584"/>
        <c:crosses val="autoZero"/>
        <c:auto val="1"/>
        <c:lblAlgn val="ctr"/>
        <c:lblOffset val="100"/>
        <c:noMultiLvlLbl val="0"/>
      </c:catAx>
      <c:valAx>
        <c:axId val="489092584"/>
        <c:scaling>
          <c:orientation val="minMax"/>
        </c:scaling>
        <c:delete val="1"/>
        <c:axPos val="l"/>
        <c:majorGridlines>
          <c:spPr>
            <a:ln>
              <a:noFill/>
            </a:ln>
          </c:spPr>
        </c:majorGridlines>
        <c:numFmt formatCode="0.0%" sourceLinked="1"/>
        <c:majorTickMark val="out"/>
        <c:minorTickMark val="none"/>
        <c:tickLblPos val="nextTo"/>
        <c:crossAx val="489092192"/>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Series 1</c:v>
                </c:pt>
              </c:strCache>
            </c:strRef>
          </c:tx>
          <c:spPr>
            <a:solidFill>
              <a:schemeClr val="tx1"/>
            </a:solidFill>
          </c:spPr>
          <c:invertIfNegative val="0"/>
          <c:dPt>
            <c:idx val="2"/>
            <c:invertIfNegative val="0"/>
            <c:bubble3D val="0"/>
            <c:spPr>
              <a:solidFill>
                <a:schemeClr val="accent1"/>
              </a:solidFill>
              <a:ln>
                <a:noFill/>
              </a:ln>
            </c:spPr>
          </c:dPt>
          <c:dPt>
            <c:idx val="3"/>
            <c:invertIfNegative val="0"/>
            <c:bubble3D val="0"/>
            <c:spPr>
              <a:solidFill>
                <a:srgbClr val="BAD004"/>
              </a:solidFill>
              <a:ln>
                <a:noFill/>
              </a:ln>
            </c:spPr>
          </c:dPt>
          <c:dLbls>
            <c:dLbl>
              <c:idx val="0"/>
              <c:layout>
                <c:manualLayout>
                  <c:x val="0.20292806877401195"/>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2315267982806497"/>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5434212027844344"/>
                  <c:y val="-6.6663279993226651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26513608444479614"/>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California </c:v>
                </c:pt>
                <c:pt idx="1">
                  <c:v>S CA MCA</c:v>
                </c:pt>
                <c:pt idx="2">
                  <c:v>KFH-Ontario MCSA</c:v>
                </c:pt>
                <c:pt idx="3">
                  <c:v>KFH-Fontana MCSA</c:v>
                </c:pt>
              </c:strCache>
            </c:strRef>
          </c:cat>
          <c:val>
            <c:numRef>
              <c:f>Sheet1!$B$2:$B$5</c:f>
              <c:numCache>
                <c:formatCode>0.0</c:formatCode>
                <c:ptCount val="4"/>
                <c:pt idx="0">
                  <c:v>83.17</c:v>
                </c:pt>
                <c:pt idx="1">
                  <c:v>102.9</c:v>
                </c:pt>
                <c:pt idx="2">
                  <c:v>93.66</c:v>
                </c:pt>
                <c:pt idx="3">
                  <c:v>120.55</c:v>
                </c:pt>
              </c:numCache>
            </c:numRef>
          </c:val>
        </c:ser>
        <c:dLbls>
          <c:showLegendKey val="0"/>
          <c:showVal val="1"/>
          <c:showCatName val="0"/>
          <c:showSerName val="0"/>
          <c:showPercent val="0"/>
          <c:showBubbleSize val="0"/>
        </c:dLbls>
        <c:gapWidth val="150"/>
        <c:overlap val="100"/>
        <c:axId val="491866456"/>
        <c:axId val="491866848"/>
      </c:barChart>
      <c:catAx>
        <c:axId val="491866456"/>
        <c:scaling>
          <c:orientation val="minMax"/>
        </c:scaling>
        <c:delete val="0"/>
        <c:axPos val="l"/>
        <c:numFmt formatCode="General" sourceLinked="0"/>
        <c:majorTickMark val="out"/>
        <c:minorTickMark val="none"/>
        <c:tickLblPos val="nextTo"/>
        <c:crossAx val="491866848"/>
        <c:crosses val="autoZero"/>
        <c:auto val="1"/>
        <c:lblAlgn val="ctr"/>
        <c:lblOffset val="100"/>
        <c:noMultiLvlLbl val="0"/>
      </c:catAx>
      <c:valAx>
        <c:axId val="491866848"/>
        <c:scaling>
          <c:orientation val="minMax"/>
        </c:scaling>
        <c:delete val="1"/>
        <c:axPos val="b"/>
        <c:numFmt formatCode="0.0" sourceLinked="1"/>
        <c:majorTickMark val="out"/>
        <c:minorTickMark val="none"/>
        <c:tickLblPos val="nextTo"/>
        <c:crossAx val="491866456"/>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Series 1</c:v>
                </c:pt>
              </c:strCache>
            </c:strRef>
          </c:tx>
          <c:spPr>
            <a:solidFill>
              <a:schemeClr val="tx1"/>
            </a:solidFill>
          </c:spPr>
          <c:invertIfNegative val="0"/>
          <c:dPt>
            <c:idx val="2"/>
            <c:invertIfNegative val="0"/>
            <c:bubble3D val="0"/>
            <c:spPr>
              <a:solidFill>
                <a:srgbClr val="49237A"/>
              </a:solidFill>
              <a:ln>
                <a:noFill/>
              </a:ln>
            </c:spPr>
          </c:dPt>
          <c:dPt>
            <c:idx val="3"/>
            <c:invertIfNegative val="0"/>
            <c:bubble3D val="0"/>
            <c:spPr>
              <a:solidFill>
                <a:srgbClr val="BAD004"/>
              </a:solidFill>
              <a:ln>
                <a:noFill/>
              </a:ln>
            </c:spPr>
          </c:dPt>
          <c:dLbls>
            <c:dLbl>
              <c:idx val="0"/>
              <c:layout>
                <c:manualLayout>
                  <c:x val="0.14882178858077522"/>
                  <c:y val="-8.6021505376344086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24312097351467429"/>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0023597363809148"/>
                  <c:y val="-6.6663406204658824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20715325944758473"/>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California </c:v>
                </c:pt>
                <c:pt idx="1">
                  <c:v>S CA MCA</c:v>
                </c:pt>
                <c:pt idx="2">
                  <c:v>Ontario Service Area</c:v>
                </c:pt>
                <c:pt idx="3">
                  <c:v>Fontana Service Area</c:v>
                </c:pt>
              </c:strCache>
            </c:strRef>
          </c:cat>
          <c:val>
            <c:numRef>
              <c:f>Sheet1!$B$2:$B$5</c:f>
              <c:numCache>
                <c:formatCode>0.0</c:formatCode>
                <c:ptCount val="4"/>
                <c:pt idx="0">
                  <c:v>1.97</c:v>
                </c:pt>
                <c:pt idx="1">
                  <c:v>4.1399999999999997</c:v>
                </c:pt>
                <c:pt idx="2">
                  <c:v>3.34</c:v>
                </c:pt>
                <c:pt idx="3">
                  <c:v>3.32</c:v>
                </c:pt>
              </c:numCache>
            </c:numRef>
          </c:val>
        </c:ser>
        <c:dLbls>
          <c:showLegendKey val="0"/>
          <c:showVal val="1"/>
          <c:showCatName val="0"/>
          <c:showSerName val="0"/>
          <c:showPercent val="0"/>
          <c:showBubbleSize val="0"/>
        </c:dLbls>
        <c:gapWidth val="150"/>
        <c:overlap val="100"/>
        <c:axId val="594897120"/>
        <c:axId val="594897512"/>
      </c:barChart>
      <c:catAx>
        <c:axId val="594897120"/>
        <c:scaling>
          <c:orientation val="minMax"/>
        </c:scaling>
        <c:delete val="0"/>
        <c:axPos val="l"/>
        <c:numFmt formatCode="General" sourceLinked="0"/>
        <c:majorTickMark val="out"/>
        <c:minorTickMark val="none"/>
        <c:tickLblPos val="nextTo"/>
        <c:crossAx val="594897512"/>
        <c:crosses val="autoZero"/>
        <c:auto val="1"/>
        <c:lblAlgn val="ctr"/>
        <c:lblOffset val="100"/>
        <c:noMultiLvlLbl val="0"/>
      </c:catAx>
      <c:valAx>
        <c:axId val="594897512"/>
        <c:scaling>
          <c:orientation val="minMax"/>
        </c:scaling>
        <c:delete val="1"/>
        <c:axPos val="b"/>
        <c:numFmt formatCode="0.0" sourceLinked="1"/>
        <c:majorTickMark val="out"/>
        <c:minorTickMark val="none"/>
        <c:tickLblPos val="nextTo"/>
        <c:crossAx val="594897120"/>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03481389752096"/>
          <c:y val="0.11182795698924732"/>
          <c:w val="0.44785407758748258"/>
          <c:h val="0.81075268817204305"/>
        </c:manualLayout>
      </c:layout>
      <c:barChart>
        <c:barDir val="bar"/>
        <c:grouping val="stacked"/>
        <c:varyColors val="0"/>
        <c:ser>
          <c:idx val="0"/>
          <c:order val="0"/>
          <c:tx>
            <c:strRef>
              <c:f>Sheet1!$B$1</c:f>
              <c:strCache>
                <c:ptCount val="1"/>
                <c:pt idx="0">
                  <c:v>Series 1</c:v>
                </c:pt>
              </c:strCache>
            </c:strRef>
          </c:tx>
          <c:spPr>
            <a:solidFill>
              <a:schemeClr val="tx1"/>
            </a:solidFill>
          </c:spPr>
          <c:invertIfNegative val="0"/>
          <c:dPt>
            <c:idx val="2"/>
            <c:invertIfNegative val="0"/>
            <c:bubble3D val="0"/>
            <c:spPr>
              <a:solidFill>
                <a:schemeClr val="accent1"/>
              </a:solidFill>
              <a:ln>
                <a:noFill/>
              </a:ln>
            </c:spPr>
          </c:dPt>
          <c:dPt>
            <c:idx val="3"/>
            <c:invertIfNegative val="0"/>
            <c:bubble3D val="0"/>
            <c:spPr>
              <a:solidFill>
                <a:schemeClr val="accent2"/>
              </a:solidFill>
              <a:ln>
                <a:noFill/>
              </a:ln>
            </c:spPr>
          </c:dPt>
          <c:dLbls>
            <c:dLbl>
              <c:idx val="0"/>
              <c:layout>
                <c:manualLayout>
                  <c:x val="0.2493049967500143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24312097351467429"/>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5187075311901185"/>
                  <c:y val="1.93582218312841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21605788542191873"/>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California </c:v>
                </c:pt>
                <c:pt idx="1">
                  <c:v>S CA MCA</c:v>
                </c:pt>
                <c:pt idx="2">
                  <c:v>KFH-Ontario MCSA</c:v>
                </c:pt>
                <c:pt idx="3">
                  <c:v>KFH-Fontana MCSA</c:v>
                </c:pt>
              </c:strCache>
            </c:strRef>
          </c:cat>
          <c:val>
            <c:numRef>
              <c:f>Sheet1!$B$2:$B$5</c:f>
              <c:numCache>
                <c:formatCode>0.0%</c:formatCode>
                <c:ptCount val="4"/>
                <c:pt idx="0">
                  <c:v>0.25180000000000002</c:v>
                </c:pt>
                <c:pt idx="1">
                  <c:v>0.25390000000000001</c:v>
                </c:pt>
                <c:pt idx="2">
                  <c:v>0.11749999999999999</c:v>
                </c:pt>
                <c:pt idx="3">
                  <c:v>0.26679999999999998</c:v>
                </c:pt>
              </c:numCache>
            </c:numRef>
          </c:val>
        </c:ser>
        <c:dLbls>
          <c:showLegendKey val="0"/>
          <c:showVal val="1"/>
          <c:showCatName val="0"/>
          <c:showSerName val="0"/>
          <c:showPercent val="0"/>
          <c:showBubbleSize val="0"/>
        </c:dLbls>
        <c:gapWidth val="150"/>
        <c:overlap val="100"/>
        <c:axId val="594898296"/>
        <c:axId val="594898688"/>
      </c:barChart>
      <c:catAx>
        <c:axId val="594898296"/>
        <c:scaling>
          <c:orientation val="minMax"/>
        </c:scaling>
        <c:delete val="0"/>
        <c:axPos val="l"/>
        <c:numFmt formatCode="General" sourceLinked="0"/>
        <c:majorTickMark val="out"/>
        <c:minorTickMark val="none"/>
        <c:tickLblPos val="nextTo"/>
        <c:crossAx val="594898688"/>
        <c:crosses val="autoZero"/>
        <c:auto val="1"/>
        <c:lblAlgn val="ctr"/>
        <c:lblOffset val="100"/>
        <c:noMultiLvlLbl val="0"/>
      </c:catAx>
      <c:valAx>
        <c:axId val="594898688"/>
        <c:scaling>
          <c:orientation val="minMax"/>
        </c:scaling>
        <c:delete val="1"/>
        <c:axPos val="b"/>
        <c:numFmt formatCode="0.0%" sourceLinked="1"/>
        <c:majorTickMark val="out"/>
        <c:minorTickMark val="none"/>
        <c:tickLblPos val="nextTo"/>
        <c:crossAx val="594898296"/>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82492398240429"/>
          <c:y val="8.6477987421383642E-2"/>
          <c:w val="0.46955502939754906"/>
          <c:h val="0.82704402515723274"/>
        </c:manualLayout>
      </c:layout>
      <c:barChart>
        <c:barDir val="bar"/>
        <c:grouping val="clustered"/>
        <c:varyColors val="0"/>
        <c:ser>
          <c:idx val="0"/>
          <c:order val="0"/>
          <c:tx>
            <c:strRef>
              <c:f>Sheet1!$B$1</c:f>
              <c:strCache>
                <c:ptCount val="1"/>
                <c:pt idx="0">
                  <c:v>Series 1</c:v>
                </c:pt>
              </c:strCache>
            </c:strRef>
          </c:tx>
          <c:spPr>
            <a:solidFill>
              <a:schemeClr val="tx1"/>
            </a:solidFill>
          </c:spPr>
          <c:invertIfNegative val="0"/>
          <c:dPt>
            <c:idx val="2"/>
            <c:invertIfNegative val="0"/>
            <c:bubble3D val="0"/>
            <c:spPr>
              <a:solidFill>
                <a:schemeClr val="accent1"/>
              </a:solidFill>
              <a:ln>
                <a:noFill/>
              </a:ln>
            </c:spPr>
          </c:dPt>
          <c:dPt>
            <c:idx val="3"/>
            <c:invertIfNegative val="0"/>
            <c:bubble3D val="0"/>
            <c:spPr>
              <a:solidFill>
                <a:schemeClr val="accent2"/>
              </a:solidFill>
              <a:ln>
                <a:noFill/>
              </a:ln>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California </c:v>
                </c:pt>
                <c:pt idx="1">
                  <c:v>S CA MCA</c:v>
                </c:pt>
                <c:pt idx="2">
                  <c:v>KFH-Ontario MCSA</c:v>
                </c:pt>
                <c:pt idx="3">
                  <c:v>KFH-Fontana MCSA</c:v>
                </c:pt>
              </c:strCache>
            </c:strRef>
          </c:cat>
          <c:val>
            <c:numRef>
              <c:f>Sheet1!$B$2:$B$5</c:f>
              <c:numCache>
                <c:formatCode>0.0%</c:formatCode>
                <c:ptCount val="4"/>
                <c:pt idx="0">
                  <c:v>0.16400000000000001</c:v>
                </c:pt>
                <c:pt idx="1">
                  <c:v>0.16900000000000001</c:v>
                </c:pt>
                <c:pt idx="2">
                  <c:v>0.13700000000000001</c:v>
                </c:pt>
                <c:pt idx="3">
                  <c:v>0.21299999999999999</c:v>
                </c:pt>
              </c:numCache>
            </c:numRef>
          </c:val>
        </c:ser>
        <c:dLbls>
          <c:showLegendKey val="0"/>
          <c:showVal val="0"/>
          <c:showCatName val="0"/>
          <c:showSerName val="0"/>
          <c:showPercent val="0"/>
          <c:showBubbleSize val="0"/>
        </c:dLbls>
        <c:gapWidth val="150"/>
        <c:axId val="491866064"/>
        <c:axId val="593112136"/>
      </c:barChart>
      <c:catAx>
        <c:axId val="491866064"/>
        <c:scaling>
          <c:orientation val="minMax"/>
        </c:scaling>
        <c:delete val="0"/>
        <c:axPos val="l"/>
        <c:numFmt formatCode="General" sourceLinked="0"/>
        <c:majorTickMark val="out"/>
        <c:minorTickMark val="none"/>
        <c:tickLblPos val="nextTo"/>
        <c:crossAx val="593112136"/>
        <c:crosses val="autoZero"/>
        <c:auto val="1"/>
        <c:lblAlgn val="ctr"/>
        <c:lblOffset val="100"/>
        <c:noMultiLvlLbl val="0"/>
      </c:catAx>
      <c:valAx>
        <c:axId val="593112136"/>
        <c:scaling>
          <c:orientation val="minMax"/>
        </c:scaling>
        <c:delete val="1"/>
        <c:axPos val="b"/>
        <c:numFmt formatCode="0.0%" sourceLinked="1"/>
        <c:majorTickMark val="out"/>
        <c:minorTickMark val="none"/>
        <c:tickLblPos val="nextTo"/>
        <c:crossAx val="491866064"/>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Harder+Company">
      <a:dk1>
        <a:sysClr val="windowText" lastClr="000000"/>
      </a:dk1>
      <a:lt1>
        <a:srgbClr val="FFFFFF"/>
      </a:lt1>
      <a:dk2>
        <a:srgbClr val="000000"/>
      </a:dk2>
      <a:lt2>
        <a:srgbClr val="FFFFFF"/>
      </a:lt2>
      <a:accent1>
        <a:srgbClr val="3F5163"/>
      </a:accent1>
      <a:accent2>
        <a:srgbClr val="1B69AA"/>
      </a:accent2>
      <a:accent3>
        <a:srgbClr val="37BFBF"/>
      </a:accent3>
      <a:accent4>
        <a:srgbClr val="E5542E"/>
      </a:accent4>
      <a:accent5>
        <a:srgbClr val="EAA10F"/>
      </a:accent5>
      <a:accent6>
        <a:srgbClr val="FFFFFF"/>
      </a:accent6>
      <a:hlink>
        <a:srgbClr val="0000FF"/>
      </a:hlink>
      <a:folHlink>
        <a:srgbClr val="800080"/>
      </a:folHlink>
    </a:clrScheme>
    <a:fontScheme name="H+Co Verdana">
      <a:majorFont>
        <a:latin typeface="Verdana"/>
        <a:ea typeface=""/>
        <a:cs typeface=""/>
      </a:majorFont>
      <a:minorFont>
        <a:latin typeface="Verdana"/>
        <a:ea typeface=""/>
        <a:cs typeface=""/>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Harder+Company Colors">
    <a:dk1>
      <a:sysClr val="windowText" lastClr="000000"/>
    </a:dk1>
    <a:lt1>
      <a:srgbClr val="FFFFFF"/>
    </a:lt1>
    <a:dk2>
      <a:srgbClr val="000000"/>
    </a:dk2>
    <a:lt2>
      <a:srgbClr val="FFFFFF"/>
    </a:lt2>
    <a:accent1>
      <a:srgbClr val="49237A"/>
    </a:accent1>
    <a:accent2>
      <a:srgbClr val="BAD004"/>
    </a:accent2>
    <a:accent3>
      <a:srgbClr val="A71D29"/>
    </a:accent3>
    <a:accent4>
      <a:srgbClr val="5E6167"/>
    </a:accent4>
    <a:accent5>
      <a:srgbClr val="857363"/>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C8770-4C50-4980-90E3-5561C9D40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9195</Words>
  <Characters>52414</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Shayla Spilker</dc:creator>
  <cp:lastModifiedBy>Martha A Valencia-Rodriguez</cp:lastModifiedBy>
  <cp:revision>2</cp:revision>
  <cp:lastPrinted>2016-06-03T17:30:00Z</cp:lastPrinted>
  <dcterms:created xsi:type="dcterms:W3CDTF">2017-01-26T00:27:00Z</dcterms:created>
  <dcterms:modified xsi:type="dcterms:W3CDTF">2017-01-26T00:27:00Z</dcterms:modified>
</cp:coreProperties>
</file>